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A6" w:rsidRDefault="000824A6" w:rsidP="0093450A">
      <w:pPr>
        <w:rPr>
          <w:rFonts w:ascii="Wiener Melange Extra Bold" w:hAnsi="Wiener Melange Extra Bold" w:cs="Wiener Melange Extra Bold"/>
          <w:sz w:val="24"/>
        </w:rPr>
      </w:pPr>
    </w:p>
    <w:p w:rsidR="000824A6" w:rsidRDefault="000824A6" w:rsidP="0093450A">
      <w:pPr>
        <w:rPr>
          <w:rFonts w:ascii="Wiener Melange Extra Bold" w:hAnsi="Wiener Melange Extra Bold" w:cs="Wiener Melange Extra Bold"/>
          <w:sz w:val="24"/>
        </w:rPr>
      </w:pPr>
    </w:p>
    <w:p w:rsidR="0093450A" w:rsidRPr="0093450A" w:rsidRDefault="00A41504" w:rsidP="0093450A">
      <w:pPr>
        <w:rPr>
          <w:rFonts w:ascii="Wiener Melange Extra Bold" w:hAnsi="Wiener Melange Extra Bold" w:cs="Wiener Melange Extra Bold"/>
          <w:sz w:val="24"/>
        </w:rPr>
      </w:pPr>
      <w:r w:rsidRPr="00D44855">
        <w:rPr>
          <w:rFonts w:ascii="Wiener Melange Extra Bold" w:hAnsi="Wiener Melange Extra Bold" w:cs="Wiener Melange Extra Bold"/>
          <w:sz w:val="24"/>
        </w:rPr>
        <w:t>Leistungszahlen / Sonderfach-Schwerpunktausbildung</w:t>
      </w:r>
      <w:r w:rsidR="001126EB" w:rsidRPr="00D44855">
        <w:rPr>
          <w:rFonts w:ascii="Wiener Melange Extra Bold" w:hAnsi="Wiener Melange Extra Bold" w:cs="Wiener Melange Extra Bold"/>
          <w:sz w:val="24"/>
        </w:rPr>
        <w:t>:</w:t>
      </w:r>
      <w:r w:rsidRPr="00D44855">
        <w:rPr>
          <w:rFonts w:ascii="Wiener Melange Extra Bold" w:hAnsi="Wiener Melange Extra Bold" w:cs="Wiener Melange Extra Bold"/>
          <w:sz w:val="24"/>
        </w:rPr>
        <w:t xml:space="preserve"> </w:t>
      </w:r>
      <w:r w:rsidR="0093450A" w:rsidRPr="0093450A">
        <w:rPr>
          <w:rFonts w:ascii="Wiener Melange Extra Bold" w:hAnsi="Wiener Melange Extra Bold" w:cs="Wiener Melange Extra Bold"/>
          <w:sz w:val="24"/>
        </w:rPr>
        <w:t>Anästhesiologie und</w:t>
      </w:r>
    </w:p>
    <w:p w:rsidR="004F2E35" w:rsidRDefault="0093450A" w:rsidP="0093450A">
      <w:pPr>
        <w:rPr>
          <w:rFonts w:ascii="Wiener Melange Extra Bold" w:hAnsi="Wiener Melange Extra Bold" w:cs="Wiener Melange Extra Bold"/>
          <w:sz w:val="24"/>
        </w:rPr>
      </w:pPr>
      <w:r>
        <w:rPr>
          <w:rFonts w:ascii="Wiener Melange Extra Bold" w:hAnsi="Wiener Melange Extra Bold" w:cs="Wiener Melange Extra Bold"/>
          <w:sz w:val="24"/>
        </w:rPr>
        <w:t>Intensivmedizin</w:t>
      </w:r>
    </w:p>
    <w:p w:rsidR="0093450A" w:rsidRPr="00D44855" w:rsidRDefault="0093450A" w:rsidP="0093450A">
      <w:pPr>
        <w:rPr>
          <w:rFonts w:ascii="Wiener Melange Extra Bold" w:hAnsi="Wiener Melange Extra Bold" w:cs="Wiener Melange Extra Bold"/>
          <w:sz w:val="24"/>
        </w:rPr>
      </w:pPr>
      <w:r w:rsidRPr="0093450A">
        <w:rPr>
          <w:rFonts w:ascii="Wiener Melange Extra Bold" w:hAnsi="Wiener Melange Extra Bold" w:cs="Wiener Melange Extra Bold"/>
          <w:sz w:val="24"/>
        </w:rPr>
        <w:t>Modul 1: Fachspezifische Intensivmedizin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2627B3" w:rsidTr="002627B3">
        <w:trPr>
          <w:trHeight w:val="737"/>
        </w:trPr>
        <w:tc>
          <w:tcPr>
            <w:tcW w:w="476" w:type="dxa"/>
            <w:tcBorders>
              <w:top w:val="nil"/>
              <w:bottom w:val="single" w:sz="2" w:space="0" w:color="D6D1CA"/>
              <w:right w:val="nil"/>
            </w:tcBorders>
            <w:shd w:val="clear" w:color="auto" w:fill="FF5A64"/>
            <w:vAlign w:val="center"/>
          </w:tcPr>
          <w:p w:rsidR="001126EB" w:rsidRPr="00FC1D58" w:rsidRDefault="001126EB" w:rsidP="00EB6DF9">
            <w:pPr>
              <w:tabs>
                <w:tab w:val="left" w:pos="421"/>
              </w:tabs>
              <w:spacing w:before="240"/>
              <w:rPr>
                <w:b/>
                <w:color w:val="FFFFFF" w:themeColor="background1"/>
              </w:rPr>
            </w:pPr>
            <w:r w:rsidRPr="00FC1D58">
              <w:rPr>
                <w:b/>
                <w:color w:val="FFFFFF" w:themeColor="background1"/>
              </w:rPr>
              <w:t>C)</w:t>
            </w:r>
          </w:p>
        </w:tc>
        <w:tc>
          <w:tcPr>
            <w:tcW w:w="5478" w:type="dxa"/>
            <w:tcBorders>
              <w:left w:val="nil"/>
            </w:tcBorders>
            <w:shd w:val="clear" w:color="auto" w:fill="FF5A64"/>
            <w:vAlign w:val="center"/>
          </w:tcPr>
          <w:p w:rsidR="001126EB" w:rsidRPr="00D53325" w:rsidRDefault="001126EB" w:rsidP="00EB6DF9">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1126EB" w:rsidRPr="00D53325" w:rsidRDefault="001126EB" w:rsidP="00EB6DF9">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1126EB" w:rsidRPr="00D53325" w:rsidRDefault="001126EB" w:rsidP="00EB6DF9">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sidR="002627B3">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sidR="002627B3">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 xml:space="preserve">1. </w:t>
            </w:r>
          </w:p>
        </w:tc>
        <w:tc>
          <w:tcPr>
            <w:tcW w:w="5478" w:type="dxa"/>
            <w:tcBorders>
              <w:left w:val="nil"/>
            </w:tcBorders>
            <w:vAlign w:val="center"/>
          </w:tcPr>
          <w:p w:rsidR="001126EB" w:rsidRDefault="0093450A" w:rsidP="00A239E3">
            <w:pPr>
              <w:spacing w:before="120" w:after="120" w:line="240" w:lineRule="auto"/>
            </w:pPr>
            <w:r>
              <w:t>Invasive und nicht invasive Beatmung</w:t>
            </w:r>
          </w:p>
        </w:tc>
        <w:tc>
          <w:tcPr>
            <w:tcW w:w="1134" w:type="dxa"/>
            <w:vAlign w:val="center"/>
          </w:tcPr>
          <w:p w:rsidR="001126EB" w:rsidRDefault="0093450A" w:rsidP="00A239E3">
            <w:pPr>
              <w:spacing w:before="120" w:after="120" w:line="240" w:lineRule="auto"/>
              <w:jc w:val="center"/>
            </w:pPr>
            <w:r>
              <w:t>50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93450A" w:rsidP="0093450A">
            <w:pPr>
              <w:spacing w:before="120" w:after="120" w:line="240" w:lineRule="auto"/>
            </w:pPr>
            <w:r>
              <w:t xml:space="preserve">4. </w:t>
            </w:r>
          </w:p>
        </w:tc>
        <w:tc>
          <w:tcPr>
            <w:tcW w:w="5478" w:type="dxa"/>
            <w:tcBorders>
              <w:left w:val="nil"/>
            </w:tcBorders>
            <w:vAlign w:val="center"/>
          </w:tcPr>
          <w:p w:rsidR="001126EB" w:rsidRDefault="0093450A" w:rsidP="00A239E3">
            <w:pPr>
              <w:spacing w:before="120" w:after="120" w:line="240" w:lineRule="auto"/>
            </w:pPr>
            <w:r>
              <w:t>Anwendung und Interpretation unterschiedlicher Monitoring-Verfahren: Druckparameter, Flussparameter, abgeleitete Größen, kapillare Füllungszeit, Hauttemperaturgradient; zerebrales Monitoring, Sedierungsskala, Schmerzskala</w:t>
            </w:r>
          </w:p>
        </w:tc>
        <w:tc>
          <w:tcPr>
            <w:tcW w:w="1134" w:type="dxa"/>
            <w:vAlign w:val="center"/>
          </w:tcPr>
          <w:p w:rsidR="001126EB" w:rsidRDefault="0093450A" w:rsidP="00A239E3">
            <w:pPr>
              <w:spacing w:before="120" w:after="120" w:line="240" w:lineRule="auto"/>
              <w:jc w:val="center"/>
            </w:pPr>
            <w:r>
              <w:t>50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9.</w:t>
            </w:r>
          </w:p>
        </w:tc>
        <w:tc>
          <w:tcPr>
            <w:tcW w:w="5478" w:type="dxa"/>
            <w:tcBorders>
              <w:left w:val="nil"/>
            </w:tcBorders>
            <w:vAlign w:val="center"/>
          </w:tcPr>
          <w:p w:rsidR="001126EB" w:rsidRDefault="0093450A" w:rsidP="00A239E3">
            <w:pPr>
              <w:spacing w:before="120" w:after="120" w:line="240" w:lineRule="auto"/>
            </w:pPr>
            <w:r>
              <w:t>Planung und Durchführung der intensivmedizinischen Therapie an Intensivstationen der Stufe II oder III bei postoperativen Patientinnen und Patienten oder Patientinnen und Patienten mit partieller und globaler respiratorischer Insuffizienz, Sepsis, septischem Schock und anderen Schockformen, Organversagen</w:t>
            </w:r>
          </w:p>
        </w:tc>
        <w:tc>
          <w:tcPr>
            <w:tcW w:w="1134" w:type="dxa"/>
            <w:vAlign w:val="center"/>
          </w:tcPr>
          <w:p w:rsidR="001126EB" w:rsidRDefault="0093450A" w:rsidP="00A239E3">
            <w:pPr>
              <w:spacing w:before="120" w:after="120" w:line="240" w:lineRule="auto"/>
              <w:jc w:val="center"/>
            </w:pPr>
            <w:r>
              <w:t>50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10.</w:t>
            </w:r>
          </w:p>
        </w:tc>
        <w:tc>
          <w:tcPr>
            <w:tcW w:w="5478" w:type="dxa"/>
            <w:tcBorders>
              <w:left w:val="nil"/>
            </w:tcBorders>
            <w:vAlign w:val="center"/>
          </w:tcPr>
          <w:p w:rsidR="001126EB" w:rsidRDefault="0093450A" w:rsidP="00A239E3">
            <w:pPr>
              <w:spacing w:before="120" w:after="120" w:line="240" w:lineRule="auto"/>
            </w:pPr>
            <w:r>
              <w:t>Maschinelle Beatmung</w:t>
            </w:r>
          </w:p>
        </w:tc>
        <w:tc>
          <w:tcPr>
            <w:tcW w:w="1134" w:type="dxa"/>
            <w:vAlign w:val="center"/>
          </w:tcPr>
          <w:p w:rsidR="001126EB" w:rsidRDefault="0093450A" w:rsidP="00A239E3">
            <w:pPr>
              <w:spacing w:before="120" w:after="120" w:line="240" w:lineRule="auto"/>
              <w:jc w:val="center"/>
            </w:pPr>
            <w:r>
              <w:rPr>
                <w:rFonts w:ascii="Arial" w:hAnsi="Arial" w:cs="Arial"/>
                <w:color w:val="000000"/>
              </w:rPr>
              <w:t>50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11.</w:t>
            </w:r>
            <w:r w:rsidR="001126EB">
              <w:t xml:space="preserve"> </w:t>
            </w:r>
          </w:p>
        </w:tc>
        <w:tc>
          <w:tcPr>
            <w:tcW w:w="5478" w:type="dxa"/>
            <w:tcBorders>
              <w:left w:val="nil"/>
            </w:tcBorders>
            <w:vAlign w:val="center"/>
          </w:tcPr>
          <w:p w:rsidR="001126EB" w:rsidRDefault="0093450A" w:rsidP="00A239E3">
            <w:pPr>
              <w:spacing w:before="120" w:after="120" w:line="240" w:lineRule="auto"/>
            </w:pPr>
            <w:r>
              <w:t>Pleurapunktion/Pleuradrainage</w:t>
            </w:r>
          </w:p>
        </w:tc>
        <w:tc>
          <w:tcPr>
            <w:tcW w:w="1134" w:type="dxa"/>
            <w:vAlign w:val="center"/>
          </w:tcPr>
          <w:p w:rsidR="001126EB" w:rsidRDefault="0093450A" w:rsidP="00A239E3">
            <w:pPr>
              <w:spacing w:before="120" w:after="120" w:line="240" w:lineRule="auto"/>
              <w:jc w:val="center"/>
            </w:pPr>
            <w:r>
              <w:t>10</w:t>
            </w:r>
          </w:p>
        </w:tc>
        <w:tc>
          <w:tcPr>
            <w:tcW w:w="2098" w:type="dxa"/>
            <w:vAlign w:val="center"/>
          </w:tcPr>
          <w:p w:rsidR="001126EB" w:rsidRDefault="001126EB" w:rsidP="00A239E3">
            <w:pPr>
              <w:spacing w:before="120" w:after="120" w:line="240" w:lineRule="auto"/>
              <w:jc w:val="center"/>
            </w:pPr>
          </w:p>
        </w:tc>
      </w:tr>
      <w:tr w:rsidR="001126EB" w:rsidTr="0093450A">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12.</w:t>
            </w:r>
          </w:p>
        </w:tc>
        <w:tc>
          <w:tcPr>
            <w:tcW w:w="5478" w:type="dxa"/>
            <w:tcBorders>
              <w:left w:val="nil"/>
              <w:bottom w:val="single" w:sz="2" w:space="0" w:color="D6D1CA"/>
            </w:tcBorders>
            <w:vAlign w:val="center"/>
          </w:tcPr>
          <w:p w:rsidR="001126EB" w:rsidRDefault="0093450A" w:rsidP="0093450A">
            <w:pPr>
              <w:spacing w:before="120" w:after="120" w:line="240" w:lineRule="auto"/>
            </w:pPr>
            <w:r>
              <w:t>Bronchoskopie</w:t>
            </w:r>
          </w:p>
        </w:tc>
        <w:tc>
          <w:tcPr>
            <w:tcW w:w="1134" w:type="dxa"/>
            <w:tcBorders>
              <w:bottom w:val="single" w:sz="2" w:space="0" w:color="D6D1CA"/>
            </w:tcBorders>
            <w:vAlign w:val="center"/>
          </w:tcPr>
          <w:p w:rsidR="001126EB" w:rsidRDefault="0093450A" w:rsidP="00A239E3">
            <w:pPr>
              <w:spacing w:before="120" w:after="120" w:line="240" w:lineRule="auto"/>
              <w:jc w:val="center"/>
            </w:pPr>
            <w:r>
              <w:t>10</w:t>
            </w:r>
          </w:p>
        </w:tc>
        <w:tc>
          <w:tcPr>
            <w:tcW w:w="2098" w:type="dxa"/>
            <w:tcBorders>
              <w:bottom w:val="single" w:sz="2" w:space="0" w:color="D6D1CA"/>
            </w:tcBorders>
            <w:vAlign w:val="center"/>
          </w:tcPr>
          <w:p w:rsidR="001126EB" w:rsidRDefault="001126EB" w:rsidP="00A239E3">
            <w:pPr>
              <w:spacing w:before="120" w:after="120" w:line="240" w:lineRule="auto"/>
              <w:jc w:val="center"/>
            </w:pPr>
          </w:p>
        </w:tc>
      </w:tr>
      <w:tr w:rsidR="001126EB" w:rsidTr="0093450A">
        <w:trPr>
          <w:trHeight w:val="340"/>
        </w:trPr>
        <w:tc>
          <w:tcPr>
            <w:tcW w:w="476" w:type="dxa"/>
            <w:tcBorders>
              <w:top w:val="single" w:sz="2" w:space="0" w:color="D6D1CA"/>
              <w:bottom w:val="single" w:sz="2" w:space="0" w:color="D6D1CA"/>
              <w:right w:val="nil"/>
            </w:tcBorders>
            <w:vAlign w:val="center"/>
          </w:tcPr>
          <w:p w:rsidR="001126EB" w:rsidRDefault="0093450A" w:rsidP="00A239E3">
            <w:pPr>
              <w:spacing w:before="120" w:after="120" w:line="240" w:lineRule="auto"/>
            </w:pPr>
            <w:r>
              <w:t>13.</w:t>
            </w:r>
          </w:p>
        </w:tc>
        <w:tc>
          <w:tcPr>
            <w:tcW w:w="5478" w:type="dxa"/>
            <w:tcBorders>
              <w:top w:val="single" w:sz="2" w:space="0" w:color="D6D1CA"/>
              <w:left w:val="nil"/>
              <w:bottom w:val="single" w:sz="2" w:space="0" w:color="D6D1CA"/>
            </w:tcBorders>
            <w:vAlign w:val="center"/>
          </w:tcPr>
          <w:p w:rsidR="001126EB" w:rsidRPr="001126EB" w:rsidRDefault="0093450A" w:rsidP="00A239E3">
            <w:pPr>
              <w:spacing w:before="120" w:after="120" w:line="240" w:lineRule="auto"/>
              <w:rPr>
                <w:rFonts w:ascii="Arial" w:hAnsi="Arial" w:cs="Arial"/>
                <w:color w:val="000000"/>
              </w:rPr>
            </w:pPr>
            <w:r>
              <w:t>Organersatzverfahren (z.B. Hämofiltration, Hämodialyse)</w:t>
            </w:r>
          </w:p>
        </w:tc>
        <w:tc>
          <w:tcPr>
            <w:tcW w:w="1134" w:type="dxa"/>
            <w:tcBorders>
              <w:top w:val="single" w:sz="2" w:space="0" w:color="D6D1CA"/>
              <w:bottom w:val="single" w:sz="2" w:space="0" w:color="D6D1CA"/>
            </w:tcBorders>
            <w:vAlign w:val="center"/>
          </w:tcPr>
          <w:p w:rsidR="001126EB" w:rsidRDefault="0093450A" w:rsidP="00A239E3">
            <w:pPr>
              <w:spacing w:before="120" w:after="120" w:line="240" w:lineRule="auto"/>
              <w:jc w:val="center"/>
            </w:pPr>
            <w:r>
              <w:t>10</w:t>
            </w:r>
          </w:p>
        </w:tc>
        <w:tc>
          <w:tcPr>
            <w:tcW w:w="2098" w:type="dxa"/>
            <w:tcBorders>
              <w:top w:val="single" w:sz="2" w:space="0" w:color="D6D1CA"/>
              <w:bottom w:val="single" w:sz="2" w:space="0" w:color="D6D1CA"/>
            </w:tcBorders>
            <w:vAlign w:val="center"/>
          </w:tcPr>
          <w:p w:rsidR="001126EB" w:rsidRDefault="001126EB" w:rsidP="00A239E3">
            <w:pPr>
              <w:spacing w:before="120" w:after="120" w:line="240" w:lineRule="auto"/>
              <w:jc w:val="center"/>
            </w:pPr>
          </w:p>
        </w:tc>
      </w:tr>
    </w:tbl>
    <w:p w:rsidR="00D807C2" w:rsidRDefault="00D807C2" w:rsidP="00FE576D">
      <w:pPr>
        <w:spacing w:after="0" w:line="240" w:lineRule="auto"/>
      </w:pPr>
    </w:p>
    <w:p w:rsidR="00F02785" w:rsidRDefault="00F02785" w:rsidP="00FE576D">
      <w:pPr>
        <w:spacing w:after="0" w:line="240" w:lineRule="auto"/>
      </w:pPr>
    </w:p>
    <w:p w:rsidR="00F02785" w:rsidRDefault="00F02785" w:rsidP="00FE576D">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D807C2" w:rsidTr="00D44855">
        <w:trPr>
          <w:trHeight w:val="595"/>
          <w:jc w:val="right"/>
        </w:trPr>
        <w:tc>
          <w:tcPr>
            <w:tcW w:w="2946" w:type="dxa"/>
          </w:tcPr>
          <w:p w:rsidR="00D807C2" w:rsidRDefault="00D807C2" w:rsidP="00D807C2">
            <w:pPr>
              <w:ind w:left="3"/>
              <w:jc w:val="right"/>
            </w:pPr>
            <w:r>
              <w:t>Datum, Unterschrift</w:t>
            </w:r>
          </w:p>
        </w:tc>
      </w:tr>
    </w:tbl>
    <w:p w:rsidR="00FE576D" w:rsidRDefault="00FE576D">
      <w:pPr>
        <w:spacing w:after="0" w:line="240" w:lineRule="auto"/>
        <w:rPr>
          <w:rFonts w:ascii="Wiener Melange Extra Bold" w:hAnsi="Wiener Melange Extra Bold" w:cs="Wiener Melange Extra Bold"/>
          <w:sz w:val="24"/>
        </w:rPr>
      </w:pPr>
      <w:r>
        <w:rPr>
          <w:rFonts w:ascii="Wiener Melange Extra Bold" w:hAnsi="Wiener Melange Extra Bold" w:cs="Wiener Melange Extra Bold"/>
          <w:sz w:val="24"/>
        </w:rPr>
        <w:br w:type="page"/>
      </w:r>
    </w:p>
    <w:p w:rsidR="00FE576D" w:rsidRPr="0093450A" w:rsidRDefault="0093450A" w:rsidP="00FE576D">
      <w:pPr>
        <w:rPr>
          <w:rFonts w:ascii="Wiener Melange Extra Bold" w:hAnsi="Wiener Melange Extra Bold" w:cs="Wiener Melange Extra Bold"/>
          <w:sz w:val="24"/>
        </w:rPr>
      </w:pPr>
      <w:r w:rsidRPr="0093450A">
        <w:rPr>
          <w:rFonts w:ascii="Wiener Melange Extra Bold" w:hAnsi="Wiener Melange Extra Bold" w:cs="Wiener Melange Extra Bold"/>
          <w:sz w:val="24"/>
        </w:rPr>
        <w:lastRenderedPageBreak/>
        <w:t>Modul 2: Anästhesie bei komplexen Fällen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FE576D" w:rsidTr="00217D53">
        <w:trPr>
          <w:trHeight w:val="737"/>
        </w:trPr>
        <w:tc>
          <w:tcPr>
            <w:tcW w:w="476" w:type="dxa"/>
            <w:tcBorders>
              <w:top w:val="nil"/>
              <w:bottom w:val="single" w:sz="2" w:space="0" w:color="D6D1CA"/>
              <w:right w:val="nil"/>
            </w:tcBorders>
            <w:shd w:val="clear" w:color="auto" w:fill="FF5A64"/>
            <w:vAlign w:val="center"/>
          </w:tcPr>
          <w:p w:rsidR="00FE576D" w:rsidRPr="00FC1D58" w:rsidRDefault="00FC1D58" w:rsidP="00217D53">
            <w:pPr>
              <w:tabs>
                <w:tab w:val="left" w:pos="421"/>
              </w:tabs>
              <w:spacing w:before="240"/>
              <w:rPr>
                <w:b/>
                <w:color w:val="FFFFFF" w:themeColor="background1"/>
              </w:rPr>
            </w:pPr>
            <w:r w:rsidRPr="00FC1D58">
              <w:rPr>
                <w:b/>
                <w:color w:val="FFFFFF" w:themeColor="background1"/>
              </w:rPr>
              <w:t>C)</w:t>
            </w:r>
          </w:p>
        </w:tc>
        <w:tc>
          <w:tcPr>
            <w:tcW w:w="5478" w:type="dxa"/>
            <w:tcBorders>
              <w:left w:val="nil"/>
            </w:tcBorders>
            <w:shd w:val="clear" w:color="auto" w:fill="FF5A64"/>
            <w:vAlign w:val="center"/>
          </w:tcPr>
          <w:p w:rsidR="00FE576D" w:rsidRPr="00D53325" w:rsidRDefault="00FE576D" w:rsidP="00217D53">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FE576D" w:rsidRPr="00D53325" w:rsidRDefault="00FE576D" w:rsidP="00217D53">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FE576D" w:rsidRPr="00D53325" w:rsidRDefault="00FE576D" w:rsidP="00217D53">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4.</w:t>
            </w:r>
          </w:p>
        </w:tc>
        <w:tc>
          <w:tcPr>
            <w:tcW w:w="5478" w:type="dxa"/>
            <w:tcBorders>
              <w:left w:val="nil"/>
            </w:tcBorders>
            <w:vAlign w:val="center"/>
          </w:tcPr>
          <w:p w:rsidR="00FE576D" w:rsidRDefault="0093450A" w:rsidP="00217D53">
            <w:pPr>
              <w:spacing w:before="120" w:after="120" w:line="240" w:lineRule="auto"/>
            </w:pPr>
            <w:r>
              <w:t>Anlage arterieller und zentralvenöser Katheter</w:t>
            </w:r>
          </w:p>
        </w:tc>
        <w:tc>
          <w:tcPr>
            <w:tcW w:w="1134" w:type="dxa"/>
            <w:vAlign w:val="center"/>
          </w:tcPr>
          <w:p w:rsidR="00FE576D" w:rsidRDefault="0093450A" w:rsidP="00217D53">
            <w:pPr>
              <w:spacing w:before="120" w:after="120" w:line="240" w:lineRule="auto"/>
              <w:jc w:val="center"/>
            </w:pPr>
            <w:r>
              <w:t>80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7.</w:t>
            </w:r>
          </w:p>
        </w:tc>
        <w:tc>
          <w:tcPr>
            <w:tcW w:w="5478" w:type="dxa"/>
            <w:tcBorders>
              <w:left w:val="nil"/>
            </w:tcBorders>
            <w:vAlign w:val="center"/>
          </w:tcPr>
          <w:p w:rsidR="00FE576D" w:rsidRDefault="0093450A" w:rsidP="0093450A">
            <w:pPr>
              <w:spacing w:before="120" w:after="120" w:line="240" w:lineRule="auto"/>
            </w:pPr>
            <w:r>
              <w:t>Perioperatives Schmerz- und Gerinnungsmanagement bei großen Operationen</w:t>
            </w:r>
          </w:p>
        </w:tc>
        <w:tc>
          <w:tcPr>
            <w:tcW w:w="1134" w:type="dxa"/>
            <w:vAlign w:val="center"/>
          </w:tcPr>
          <w:p w:rsidR="00FE576D" w:rsidRDefault="0093450A" w:rsidP="00217D53">
            <w:pPr>
              <w:spacing w:before="120" w:after="120" w:line="240" w:lineRule="auto"/>
              <w:jc w:val="center"/>
            </w:pPr>
            <w:r>
              <w:t>15</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8.</w:t>
            </w:r>
          </w:p>
        </w:tc>
        <w:tc>
          <w:tcPr>
            <w:tcW w:w="5478" w:type="dxa"/>
            <w:tcBorders>
              <w:left w:val="nil"/>
            </w:tcBorders>
            <w:vAlign w:val="center"/>
          </w:tcPr>
          <w:p w:rsidR="00FE576D" w:rsidRDefault="0093450A" w:rsidP="0093450A">
            <w:pPr>
              <w:spacing w:before="120" w:after="120" w:line="240" w:lineRule="auto"/>
            </w:pPr>
            <w:r>
              <w:t>Postoperative Betreuung nach großen Operationen</w:t>
            </w:r>
          </w:p>
        </w:tc>
        <w:tc>
          <w:tcPr>
            <w:tcW w:w="1134" w:type="dxa"/>
            <w:vAlign w:val="center"/>
          </w:tcPr>
          <w:p w:rsidR="00FE576D" w:rsidRDefault="0093450A" w:rsidP="00217D53">
            <w:pPr>
              <w:spacing w:before="120" w:after="120" w:line="240" w:lineRule="auto"/>
              <w:jc w:val="center"/>
            </w:pPr>
            <w:r>
              <w:t>15</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10.</w:t>
            </w:r>
          </w:p>
        </w:tc>
        <w:tc>
          <w:tcPr>
            <w:tcW w:w="5478" w:type="dxa"/>
            <w:tcBorders>
              <w:left w:val="nil"/>
            </w:tcBorders>
            <w:vAlign w:val="center"/>
          </w:tcPr>
          <w:p w:rsidR="00FE576D" w:rsidRPr="0093450A" w:rsidRDefault="0093450A" w:rsidP="0093450A">
            <w:pPr>
              <w:spacing w:before="120" w:after="120" w:line="240" w:lineRule="auto"/>
              <w:rPr>
                <w:rFonts w:ascii="Arial" w:hAnsi="Arial" w:cs="Arial"/>
                <w:color w:val="000000"/>
              </w:rPr>
            </w:pPr>
            <w:r>
              <w:t>Präoperative Evaluation bei Patientinnen und Patienten mit erhöhtem perioperativen Risiko</w:t>
            </w:r>
          </w:p>
        </w:tc>
        <w:tc>
          <w:tcPr>
            <w:tcW w:w="1134" w:type="dxa"/>
            <w:vAlign w:val="center"/>
          </w:tcPr>
          <w:p w:rsidR="00FE576D" w:rsidRDefault="0093450A" w:rsidP="00217D53">
            <w:pPr>
              <w:spacing w:before="120" w:after="120" w:line="240" w:lineRule="auto"/>
              <w:jc w:val="center"/>
            </w:pPr>
            <w:r>
              <w:t>20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11.</w:t>
            </w:r>
          </w:p>
        </w:tc>
        <w:tc>
          <w:tcPr>
            <w:tcW w:w="5478" w:type="dxa"/>
            <w:tcBorders>
              <w:left w:val="nil"/>
            </w:tcBorders>
            <w:vAlign w:val="center"/>
          </w:tcPr>
          <w:p w:rsidR="00FE576D" w:rsidRPr="0093450A" w:rsidRDefault="0093450A" w:rsidP="0093450A">
            <w:pPr>
              <w:spacing w:before="120" w:after="120" w:line="240" w:lineRule="auto"/>
              <w:rPr>
                <w:rFonts w:ascii="Arial" w:hAnsi="Arial" w:cs="Arial"/>
                <w:color w:val="000000"/>
              </w:rPr>
            </w:pPr>
            <w:r>
              <w:t>Anlage von erweitertem hämodynamischen Monitoring</w:t>
            </w:r>
          </w:p>
        </w:tc>
        <w:tc>
          <w:tcPr>
            <w:tcW w:w="1134" w:type="dxa"/>
            <w:vAlign w:val="center"/>
          </w:tcPr>
          <w:p w:rsidR="00FE576D" w:rsidRDefault="0093450A" w:rsidP="00217D53">
            <w:pPr>
              <w:spacing w:before="120" w:after="120" w:line="240" w:lineRule="auto"/>
              <w:jc w:val="center"/>
            </w:pPr>
            <w:r>
              <w:t>5</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12.</w:t>
            </w:r>
          </w:p>
        </w:tc>
        <w:tc>
          <w:tcPr>
            <w:tcW w:w="5478" w:type="dxa"/>
            <w:tcBorders>
              <w:left w:val="nil"/>
            </w:tcBorders>
            <w:vAlign w:val="center"/>
          </w:tcPr>
          <w:p w:rsidR="00FE576D" w:rsidRPr="0093450A" w:rsidRDefault="0093450A" w:rsidP="0093450A">
            <w:pPr>
              <w:spacing w:before="120" w:after="120" w:line="240" w:lineRule="auto"/>
              <w:rPr>
                <w:rFonts w:ascii="Arial" w:hAnsi="Arial" w:cs="Arial"/>
                <w:color w:val="000000"/>
              </w:rPr>
            </w:pPr>
            <w:r>
              <w:t>HZV-Messungen</w:t>
            </w:r>
          </w:p>
        </w:tc>
        <w:tc>
          <w:tcPr>
            <w:tcW w:w="1134" w:type="dxa"/>
            <w:vAlign w:val="center"/>
          </w:tcPr>
          <w:p w:rsidR="00FE576D" w:rsidRDefault="0093450A" w:rsidP="00217D53">
            <w:pPr>
              <w:spacing w:before="120" w:after="120" w:line="240" w:lineRule="auto"/>
              <w:jc w:val="center"/>
            </w:pPr>
            <w:r>
              <w:t>10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13.</w:t>
            </w:r>
          </w:p>
        </w:tc>
        <w:tc>
          <w:tcPr>
            <w:tcW w:w="5478" w:type="dxa"/>
            <w:tcBorders>
              <w:left w:val="nil"/>
            </w:tcBorders>
            <w:vAlign w:val="center"/>
          </w:tcPr>
          <w:p w:rsidR="00FE576D" w:rsidRPr="00FE576D" w:rsidRDefault="0093450A" w:rsidP="00FE576D">
            <w:pPr>
              <w:spacing w:before="120" w:after="120" w:line="240" w:lineRule="auto"/>
              <w:rPr>
                <w:rFonts w:ascii="Arial" w:hAnsi="Arial" w:cs="Arial"/>
                <w:color w:val="000000"/>
              </w:rPr>
            </w:pPr>
            <w:r>
              <w:t>Ischämiemonitoring</w:t>
            </w:r>
          </w:p>
        </w:tc>
        <w:tc>
          <w:tcPr>
            <w:tcW w:w="1134" w:type="dxa"/>
            <w:vAlign w:val="center"/>
          </w:tcPr>
          <w:p w:rsidR="00FE576D" w:rsidRDefault="0093450A" w:rsidP="00217D53">
            <w:pPr>
              <w:spacing w:before="120" w:after="120" w:line="240" w:lineRule="auto"/>
              <w:jc w:val="center"/>
            </w:pPr>
            <w:r>
              <w:t>5</w:t>
            </w:r>
          </w:p>
        </w:tc>
        <w:tc>
          <w:tcPr>
            <w:tcW w:w="2098" w:type="dxa"/>
            <w:vAlign w:val="center"/>
          </w:tcPr>
          <w:p w:rsidR="00FE576D" w:rsidRDefault="00FE576D" w:rsidP="00217D53">
            <w:pPr>
              <w:spacing w:before="120" w:after="120" w:line="240" w:lineRule="auto"/>
              <w:jc w:val="center"/>
            </w:pPr>
          </w:p>
        </w:tc>
      </w:tr>
      <w:tr w:rsidR="00FE576D" w:rsidTr="00FE576D">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14</w:t>
            </w:r>
            <w:r w:rsidR="00FE576D">
              <w:t>.</w:t>
            </w:r>
          </w:p>
        </w:tc>
        <w:tc>
          <w:tcPr>
            <w:tcW w:w="5478" w:type="dxa"/>
            <w:tcBorders>
              <w:left w:val="nil"/>
              <w:bottom w:val="single" w:sz="2" w:space="0" w:color="D6D1CA"/>
            </w:tcBorders>
            <w:vAlign w:val="center"/>
          </w:tcPr>
          <w:p w:rsidR="00FE576D" w:rsidRPr="00FE576D" w:rsidRDefault="0093450A" w:rsidP="00FE576D">
            <w:pPr>
              <w:spacing w:before="120" w:after="120" w:line="240" w:lineRule="auto"/>
              <w:rPr>
                <w:rFonts w:ascii="Arial" w:hAnsi="Arial" w:cs="Arial"/>
                <w:color w:val="000000"/>
              </w:rPr>
            </w:pPr>
            <w:r>
              <w:t>Fiberoptisch Tubus-Lagekontrolle</w:t>
            </w:r>
          </w:p>
        </w:tc>
        <w:tc>
          <w:tcPr>
            <w:tcW w:w="1134" w:type="dxa"/>
            <w:tcBorders>
              <w:bottom w:val="single" w:sz="2" w:space="0" w:color="D6D1CA"/>
            </w:tcBorders>
            <w:vAlign w:val="center"/>
          </w:tcPr>
          <w:p w:rsidR="00FE576D" w:rsidRDefault="0093450A" w:rsidP="00217D53">
            <w:pPr>
              <w:spacing w:before="120" w:after="120" w:line="240" w:lineRule="auto"/>
              <w:jc w:val="center"/>
            </w:pPr>
            <w:r>
              <w:t>5</w:t>
            </w:r>
          </w:p>
        </w:tc>
        <w:tc>
          <w:tcPr>
            <w:tcW w:w="2098" w:type="dxa"/>
            <w:tcBorders>
              <w:bottom w:val="single" w:sz="2" w:space="0" w:color="D6D1CA"/>
            </w:tcBorders>
            <w:vAlign w:val="center"/>
          </w:tcPr>
          <w:p w:rsidR="00FE576D" w:rsidRDefault="00FE576D" w:rsidP="00217D53">
            <w:pPr>
              <w:spacing w:before="120" w:after="120" w:line="240" w:lineRule="auto"/>
              <w:jc w:val="center"/>
            </w:pPr>
          </w:p>
        </w:tc>
      </w:tr>
      <w:tr w:rsidR="00FE576D" w:rsidTr="00FE576D">
        <w:trPr>
          <w:trHeight w:val="340"/>
        </w:trPr>
        <w:tc>
          <w:tcPr>
            <w:tcW w:w="476" w:type="dxa"/>
            <w:tcBorders>
              <w:top w:val="single" w:sz="2" w:space="0" w:color="D6D1CA"/>
              <w:bottom w:val="single" w:sz="2" w:space="0" w:color="D6D1CA"/>
              <w:right w:val="nil"/>
            </w:tcBorders>
            <w:vAlign w:val="center"/>
          </w:tcPr>
          <w:p w:rsidR="00FE576D" w:rsidRDefault="0093450A" w:rsidP="00217D53">
            <w:pPr>
              <w:spacing w:before="120" w:after="120" w:line="240" w:lineRule="auto"/>
            </w:pPr>
            <w:r>
              <w:t>15.</w:t>
            </w:r>
          </w:p>
        </w:tc>
        <w:tc>
          <w:tcPr>
            <w:tcW w:w="5478" w:type="dxa"/>
            <w:tcBorders>
              <w:top w:val="single" w:sz="2" w:space="0" w:color="D6D1CA"/>
              <w:left w:val="nil"/>
              <w:bottom w:val="single" w:sz="2" w:space="0" w:color="D6D1CA"/>
            </w:tcBorders>
            <w:vAlign w:val="center"/>
          </w:tcPr>
          <w:p w:rsidR="00FE576D" w:rsidRDefault="0093450A" w:rsidP="00FE576D">
            <w:pPr>
              <w:spacing w:before="120" w:after="120" w:line="240" w:lineRule="auto"/>
              <w:rPr>
                <w:rFonts w:ascii="Arial" w:hAnsi="Arial" w:cs="Arial"/>
                <w:color w:val="000000"/>
              </w:rPr>
            </w:pPr>
            <w:r>
              <w:t>Transfusionsmanagement, Gerinnungsmanagement bei Eingriffen mit großem Blutverlust</w:t>
            </w:r>
          </w:p>
        </w:tc>
        <w:tc>
          <w:tcPr>
            <w:tcW w:w="1134" w:type="dxa"/>
            <w:tcBorders>
              <w:top w:val="single" w:sz="2" w:space="0" w:color="D6D1CA"/>
              <w:bottom w:val="single" w:sz="2" w:space="0" w:color="D6D1CA"/>
            </w:tcBorders>
            <w:vAlign w:val="center"/>
          </w:tcPr>
          <w:p w:rsidR="00FE576D" w:rsidRDefault="0093450A" w:rsidP="00217D53">
            <w:pPr>
              <w:spacing w:before="120" w:after="120" w:line="240" w:lineRule="auto"/>
              <w:jc w:val="center"/>
            </w:pPr>
            <w:r>
              <w:t>20</w:t>
            </w:r>
          </w:p>
        </w:tc>
        <w:tc>
          <w:tcPr>
            <w:tcW w:w="2098" w:type="dxa"/>
            <w:tcBorders>
              <w:top w:val="single" w:sz="2" w:space="0" w:color="D6D1CA"/>
              <w:bottom w:val="single" w:sz="2" w:space="0" w:color="D6D1CA"/>
            </w:tcBorders>
            <w:vAlign w:val="center"/>
          </w:tcPr>
          <w:p w:rsidR="00FE576D" w:rsidRDefault="00FE576D"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r>
              <w:t>16.</w:t>
            </w:r>
          </w:p>
        </w:tc>
        <w:tc>
          <w:tcPr>
            <w:tcW w:w="5478" w:type="dxa"/>
            <w:tcBorders>
              <w:top w:val="single" w:sz="2" w:space="0" w:color="D6D1CA"/>
              <w:left w:val="nil"/>
              <w:bottom w:val="single" w:sz="2" w:space="0" w:color="D6D1CA"/>
            </w:tcBorders>
            <w:vAlign w:val="center"/>
          </w:tcPr>
          <w:p w:rsidR="0093450A" w:rsidRDefault="0093450A" w:rsidP="00FE576D">
            <w:pPr>
              <w:spacing w:before="120" w:after="120" w:line="240" w:lineRule="auto"/>
            </w:pPr>
            <w:r>
              <w:t>Schmerzmanagement nach großen Eingriffen</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r>
              <w:t>20</w:t>
            </w: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r>
              <w:t>17.</w:t>
            </w:r>
          </w:p>
        </w:tc>
        <w:tc>
          <w:tcPr>
            <w:tcW w:w="5478" w:type="dxa"/>
            <w:tcBorders>
              <w:top w:val="single" w:sz="2" w:space="0" w:color="D6D1CA"/>
              <w:left w:val="nil"/>
              <w:bottom w:val="single" w:sz="2" w:space="0" w:color="D6D1CA"/>
            </w:tcBorders>
            <w:vAlign w:val="center"/>
          </w:tcPr>
          <w:p w:rsidR="0093450A" w:rsidRDefault="0093450A" w:rsidP="00FE576D">
            <w:pPr>
              <w:spacing w:before="120" w:after="120" w:line="240" w:lineRule="auto"/>
            </w:pPr>
            <w:r>
              <w:t>Anästhesien bei Eingriffen aus zwei oder mehreren der folgenden Schwerpunktspezialbereiche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r>
              <w:t>150</w:t>
            </w: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bei Säuglingen, Kindern &lt; 3 Jahren</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bei gebrechlichen/multimorbiden Patientinnen und Patienten</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Allgemeinanästhesie bei intrakraniellen Eingriffen, Eingriffen am Rückenmark, Wirbelsäulenoperationen</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Anästhesien bei herzchirurgischen Eingriffen, Herzschrittma</w:t>
            </w:r>
            <w:bookmarkStart w:id="0" w:name="_GoBack"/>
            <w:bookmarkEnd w:id="0"/>
            <w:r>
              <w:t xml:space="preserve">cherchirurgie, Einsatz von </w:t>
            </w:r>
            <w:r>
              <w:lastRenderedPageBreak/>
              <w:t>automatischen implantierbaren CardioverterDefibrillatoren (AICD)</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Thoraxchirurgie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Gefäßchirurgie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Abdominalchirurgie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Orthopädie und Traumatologie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Gynäkologie und Geburtshilfe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r w:rsidR="0093450A" w:rsidTr="00FE576D">
        <w:trPr>
          <w:trHeight w:val="340"/>
        </w:trPr>
        <w:tc>
          <w:tcPr>
            <w:tcW w:w="476" w:type="dxa"/>
            <w:tcBorders>
              <w:top w:val="single" w:sz="2" w:space="0" w:color="D6D1CA"/>
              <w:bottom w:val="single" w:sz="2" w:space="0" w:color="D6D1CA"/>
              <w:right w:val="nil"/>
            </w:tcBorders>
            <w:vAlign w:val="center"/>
          </w:tcPr>
          <w:p w:rsidR="0093450A" w:rsidRDefault="0093450A" w:rsidP="00217D53">
            <w:pPr>
              <w:spacing w:before="120" w:after="120" w:line="240" w:lineRule="auto"/>
            </w:pPr>
          </w:p>
        </w:tc>
        <w:tc>
          <w:tcPr>
            <w:tcW w:w="5478" w:type="dxa"/>
            <w:tcBorders>
              <w:top w:val="single" w:sz="2" w:space="0" w:color="D6D1CA"/>
              <w:left w:val="nil"/>
              <w:bottom w:val="single" w:sz="2" w:space="0" w:color="D6D1CA"/>
            </w:tcBorders>
            <w:vAlign w:val="center"/>
          </w:tcPr>
          <w:p w:rsidR="0093450A" w:rsidRDefault="0093450A" w:rsidP="0093450A">
            <w:pPr>
              <w:pStyle w:val="Listenabsatz"/>
              <w:numPr>
                <w:ilvl w:val="0"/>
                <w:numId w:val="4"/>
              </w:numPr>
              <w:spacing w:before="120" w:after="120" w:line="240" w:lineRule="auto"/>
            </w:pPr>
            <w:r>
              <w:t>Allgemein- und Regionalanästhesien in der Urologie</w:t>
            </w:r>
          </w:p>
        </w:tc>
        <w:tc>
          <w:tcPr>
            <w:tcW w:w="1134"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c>
          <w:tcPr>
            <w:tcW w:w="2098" w:type="dxa"/>
            <w:tcBorders>
              <w:top w:val="single" w:sz="2" w:space="0" w:color="D6D1CA"/>
              <w:bottom w:val="single" w:sz="2" w:space="0" w:color="D6D1CA"/>
            </w:tcBorders>
            <w:vAlign w:val="center"/>
          </w:tcPr>
          <w:p w:rsidR="0093450A" w:rsidRDefault="0093450A" w:rsidP="00217D53">
            <w:pPr>
              <w:spacing w:before="120" w:after="120" w:line="240" w:lineRule="auto"/>
              <w:jc w:val="center"/>
            </w:pPr>
          </w:p>
        </w:tc>
      </w:tr>
    </w:tbl>
    <w:p w:rsidR="00FE576D" w:rsidRDefault="00FE576D"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FE576D" w:rsidTr="00217D53">
        <w:trPr>
          <w:trHeight w:val="595"/>
          <w:jc w:val="right"/>
        </w:trPr>
        <w:tc>
          <w:tcPr>
            <w:tcW w:w="2946" w:type="dxa"/>
          </w:tcPr>
          <w:p w:rsidR="00FE576D" w:rsidRDefault="00FE576D" w:rsidP="00217D53">
            <w:pPr>
              <w:ind w:left="3"/>
              <w:jc w:val="right"/>
            </w:pPr>
            <w:r>
              <w:t>Datum, Unterschrift</w:t>
            </w:r>
          </w:p>
        </w:tc>
      </w:tr>
    </w:tbl>
    <w:p w:rsidR="00D06238" w:rsidRPr="0093450A" w:rsidRDefault="00FC1D58" w:rsidP="00D06238">
      <w:pPr>
        <w:rPr>
          <w:rFonts w:ascii="Wiener Melange Extra Bold" w:hAnsi="Wiener Melange Extra Bold" w:cs="Wiener Melange Extra Bold"/>
          <w:sz w:val="24"/>
        </w:rPr>
      </w:pPr>
      <w:r w:rsidRPr="00FC1D58">
        <w:rPr>
          <w:rFonts w:ascii="Wiener Melange Extra Bold" w:hAnsi="Wiener Melange Extra Bold" w:cs="Wiener Melange Extra Bold"/>
          <w:sz w:val="24"/>
        </w:rPr>
        <w:t>Modul 3: Regionalanästhesie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D06238" w:rsidTr="00CD163A">
        <w:trPr>
          <w:trHeight w:val="737"/>
        </w:trPr>
        <w:tc>
          <w:tcPr>
            <w:tcW w:w="476" w:type="dxa"/>
            <w:tcBorders>
              <w:top w:val="nil"/>
              <w:bottom w:val="single" w:sz="2" w:space="0" w:color="D6D1CA"/>
              <w:right w:val="nil"/>
            </w:tcBorders>
            <w:shd w:val="clear" w:color="auto" w:fill="FF5A64"/>
            <w:vAlign w:val="center"/>
          </w:tcPr>
          <w:p w:rsidR="00D06238" w:rsidRPr="00FC1D58" w:rsidRDefault="00FC1D58" w:rsidP="00CD163A">
            <w:pPr>
              <w:tabs>
                <w:tab w:val="left" w:pos="421"/>
              </w:tabs>
              <w:spacing w:before="240"/>
              <w:rPr>
                <w:b/>
                <w:color w:val="FFFFFF" w:themeColor="background1"/>
              </w:rPr>
            </w:pPr>
            <w:r w:rsidRPr="00FC1D58">
              <w:rPr>
                <w:b/>
                <w:color w:val="FFFFFF" w:themeColor="background1"/>
              </w:rPr>
              <w:t>C)</w:t>
            </w:r>
          </w:p>
        </w:tc>
        <w:tc>
          <w:tcPr>
            <w:tcW w:w="5478" w:type="dxa"/>
            <w:tcBorders>
              <w:left w:val="nil"/>
            </w:tcBorders>
            <w:shd w:val="clear" w:color="auto" w:fill="FF5A64"/>
            <w:vAlign w:val="center"/>
          </w:tcPr>
          <w:p w:rsidR="00D06238" w:rsidRPr="00D53325" w:rsidRDefault="00D06238" w:rsidP="00CD163A">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FC1D58" w:rsidRPr="00FC1D58" w:rsidRDefault="00D06238" w:rsidP="00FC1D58">
            <w:pPr>
              <w:spacing w:before="240"/>
              <w:jc w:val="center"/>
              <w:rPr>
                <w:rFonts w:ascii="Arial" w:hAnsi="Arial" w:cs="Arial"/>
                <w:b/>
                <w:bCs/>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r w:rsidR="00FC1D58">
              <w:rPr>
                <w:rFonts w:ascii="Arial" w:hAnsi="Arial" w:cs="Arial"/>
                <w:b/>
                <w:bCs/>
                <w:color w:val="FFFFFF" w:themeColor="background1"/>
              </w:rPr>
              <w:t xml:space="preserve"> 150</w:t>
            </w:r>
          </w:p>
        </w:tc>
        <w:tc>
          <w:tcPr>
            <w:tcW w:w="2098" w:type="dxa"/>
            <w:shd w:val="clear" w:color="auto" w:fill="FF5A64"/>
            <w:vAlign w:val="center"/>
          </w:tcPr>
          <w:p w:rsidR="00D06238" w:rsidRPr="00D53325" w:rsidRDefault="00D06238" w:rsidP="00CD163A">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D06238" w:rsidTr="00CD163A">
        <w:trPr>
          <w:trHeight w:val="340"/>
        </w:trPr>
        <w:tc>
          <w:tcPr>
            <w:tcW w:w="476" w:type="dxa"/>
            <w:tcBorders>
              <w:top w:val="single" w:sz="2" w:space="0" w:color="D6D1CA"/>
              <w:bottom w:val="single" w:sz="2" w:space="0" w:color="D6D1CA"/>
              <w:right w:val="nil"/>
            </w:tcBorders>
            <w:vAlign w:val="center"/>
          </w:tcPr>
          <w:p w:rsidR="00D06238" w:rsidRDefault="00FC1D58" w:rsidP="00CD163A">
            <w:pPr>
              <w:spacing w:before="120" w:after="120" w:line="240" w:lineRule="auto"/>
            </w:pPr>
            <w:r>
              <w:t>1.</w:t>
            </w:r>
          </w:p>
        </w:tc>
        <w:tc>
          <w:tcPr>
            <w:tcW w:w="5478" w:type="dxa"/>
            <w:tcBorders>
              <w:left w:val="nil"/>
            </w:tcBorders>
            <w:vAlign w:val="center"/>
          </w:tcPr>
          <w:p w:rsidR="00D06238" w:rsidRDefault="00FC1D58" w:rsidP="00CD163A">
            <w:pPr>
              <w:spacing w:before="120" w:after="120" w:line="240" w:lineRule="auto"/>
            </w:pPr>
            <w:r>
              <w:t>Rückenmarksnahe Regionalanästhesie</w:t>
            </w:r>
          </w:p>
        </w:tc>
        <w:tc>
          <w:tcPr>
            <w:tcW w:w="1134" w:type="dxa"/>
            <w:vAlign w:val="center"/>
          </w:tcPr>
          <w:p w:rsidR="00D06238" w:rsidRDefault="00D06238" w:rsidP="00CD163A">
            <w:pPr>
              <w:spacing w:before="120" w:after="120" w:line="240" w:lineRule="auto"/>
              <w:jc w:val="center"/>
            </w:pPr>
          </w:p>
        </w:tc>
        <w:tc>
          <w:tcPr>
            <w:tcW w:w="2098" w:type="dxa"/>
            <w:vAlign w:val="center"/>
          </w:tcPr>
          <w:p w:rsidR="00D06238" w:rsidRDefault="00D06238" w:rsidP="00CD163A">
            <w:pPr>
              <w:spacing w:before="120" w:after="120" w:line="240" w:lineRule="auto"/>
              <w:jc w:val="center"/>
            </w:pPr>
          </w:p>
        </w:tc>
      </w:tr>
      <w:tr w:rsidR="00D06238" w:rsidTr="00FC1D58">
        <w:trPr>
          <w:trHeight w:val="340"/>
        </w:trPr>
        <w:tc>
          <w:tcPr>
            <w:tcW w:w="476" w:type="dxa"/>
            <w:tcBorders>
              <w:top w:val="single" w:sz="2" w:space="0" w:color="D6D1CA"/>
              <w:bottom w:val="single" w:sz="2" w:space="0" w:color="D6D1CA"/>
              <w:right w:val="nil"/>
            </w:tcBorders>
            <w:vAlign w:val="center"/>
          </w:tcPr>
          <w:p w:rsidR="00D06238" w:rsidRDefault="00D06238" w:rsidP="00CD163A">
            <w:pPr>
              <w:spacing w:before="120" w:after="120" w:line="240" w:lineRule="auto"/>
            </w:pPr>
          </w:p>
        </w:tc>
        <w:tc>
          <w:tcPr>
            <w:tcW w:w="5478" w:type="dxa"/>
            <w:tcBorders>
              <w:left w:val="nil"/>
              <w:bottom w:val="single" w:sz="2" w:space="0" w:color="D6D1CA"/>
            </w:tcBorders>
            <w:vAlign w:val="center"/>
          </w:tcPr>
          <w:p w:rsidR="00D06238" w:rsidRDefault="00FC1D58" w:rsidP="00FC1D58">
            <w:pPr>
              <w:pStyle w:val="Listenabsatz"/>
              <w:numPr>
                <w:ilvl w:val="0"/>
                <w:numId w:val="5"/>
              </w:numPr>
              <w:spacing w:before="120" w:after="120" w:line="240" w:lineRule="auto"/>
            </w:pPr>
            <w:r>
              <w:t>Spinalanästhesie</w:t>
            </w:r>
          </w:p>
        </w:tc>
        <w:tc>
          <w:tcPr>
            <w:tcW w:w="1134" w:type="dxa"/>
            <w:tcBorders>
              <w:bottom w:val="single" w:sz="2" w:space="0" w:color="D6D1CA"/>
            </w:tcBorders>
            <w:vAlign w:val="center"/>
          </w:tcPr>
          <w:p w:rsidR="00D06238" w:rsidRDefault="00FC1D58" w:rsidP="00CD163A">
            <w:pPr>
              <w:spacing w:before="120" w:after="120" w:line="240" w:lineRule="auto"/>
              <w:jc w:val="center"/>
            </w:pPr>
            <w:r>
              <w:t>30</w:t>
            </w:r>
          </w:p>
        </w:tc>
        <w:tc>
          <w:tcPr>
            <w:tcW w:w="2098" w:type="dxa"/>
            <w:tcBorders>
              <w:bottom w:val="single" w:sz="2" w:space="0" w:color="D6D1CA"/>
            </w:tcBorders>
            <w:vAlign w:val="center"/>
          </w:tcPr>
          <w:p w:rsidR="00D06238" w:rsidRDefault="00D06238" w:rsidP="00CD163A">
            <w:pPr>
              <w:spacing w:before="120" w:after="120" w:line="240" w:lineRule="auto"/>
              <w:jc w:val="center"/>
            </w:pPr>
          </w:p>
        </w:tc>
      </w:tr>
      <w:tr w:rsidR="00D06238" w:rsidTr="00FC1D58">
        <w:trPr>
          <w:trHeight w:val="340"/>
        </w:trPr>
        <w:tc>
          <w:tcPr>
            <w:tcW w:w="476" w:type="dxa"/>
            <w:tcBorders>
              <w:top w:val="single" w:sz="2" w:space="0" w:color="D6D1CA"/>
              <w:bottom w:val="single" w:sz="2" w:space="0" w:color="D6D1CA"/>
              <w:right w:val="nil"/>
            </w:tcBorders>
            <w:vAlign w:val="center"/>
          </w:tcPr>
          <w:p w:rsidR="00D06238" w:rsidRDefault="00D06238" w:rsidP="00CD163A">
            <w:pPr>
              <w:spacing w:before="120" w:after="120" w:line="240" w:lineRule="auto"/>
            </w:pPr>
          </w:p>
        </w:tc>
        <w:tc>
          <w:tcPr>
            <w:tcW w:w="5478" w:type="dxa"/>
            <w:tcBorders>
              <w:top w:val="single" w:sz="2" w:space="0" w:color="D6D1CA"/>
              <w:left w:val="nil"/>
              <w:bottom w:val="single" w:sz="2" w:space="0" w:color="D6D1CA"/>
            </w:tcBorders>
            <w:vAlign w:val="center"/>
          </w:tcPr>
          <w:p w:rsidR="00D06238" w:rsidRDefault="00FC1D58" w:rsidP="00FC1D58">
            <w:pPr>
              <w:pStyle w:val="Listenabsatz"/>
              <w:numPr>
                <w:ilvl w:val="0"/>
                <w:numId w:val="5"/>
              </w:numPr>
              <w:spacing w:before="120" w:after="120" w:line="240" w:lineRule="auto"/>
            </w:pPr>
            <w:r>
              <w:t>Peridularanästhesie</w:t>
            </w:r>
          </w:p>
        </w:tc>
        <w:tc>
          <w:tcPr>
            <w:tcW w:w="1134" w:type="dxa"/>
            <w:tcBorders>
              <w:top w:val="single" w:sz="2" w:space="0" w:color="D6D1CA"/>
              <w:bottom w:val="single" w:sz="2" w:space="0" w:color="D6D1CA"/>
            </w:tcBorders>
            <w:vAlign w:val="center"/>
          </w:tcPr>
          <w:p w:rsidR="00D06238" w:rsidRDefault="00FC1D58" w:rsidP="00CD163A">
            <w:pPr>
              <w:spacing w:before="120" w:after="120" w:line="240" w:lineRule="auto"/>
              <w:jc w:val="center"/>
            </w:pPr>
            <w:r>
              <w:t>30</w:t>
            </w:r>
          </w:p>
        </w:tc>
        <w:tc>
          <w:tcPr>
            <w:tcW w:w="2098" w:type="dxa"/>
            <w:tcBorders>
              <w:top w:val="single" w:sz="2" w:space="0" w:color="D6D1CA"/>
              <w:bottom w:val="single" w:sz="2" w:space="0" w:color="D6D1CA"/>
            </w:tcBorders>
            <w:vAlign w:val="center"/>
          </w:tcPr>
          <w:p w:rsidR="00D06238" w:rsidRDefault="00D06238" w:rsidP="00CD163A">
            <w:pPr>
              <w:spacing w:before="120" w:after="120" w:line="240" w:lineRule="auto"/>
              <w:jc w:val="center"/>
            </w:pPr>
          </w:p>
        </w:tc>
      </w:tr>
      <w:tr w:rsidR="00D06238" w:rsidTr="00FC1D58">
        <w:trPr>
          <w:trHeight w:val="340"/>
        </w:trPr>
        <w:tc>
          <w:tcPr>
            <w:tcW w:w="476" w:type="dxa"/>
            <w:tcBorders>
              <w:top w:val="single" w:sz="2" w:space="0" w:color="D6D1CA"/>
              <w:bottom w:val="single" w:sz="2" w:space="0" w:color="D6D1CA"/>
              <w:right w:val="nil"/>
            </w:tcBorders>
            <w:vAlign w:val="center"/>
          </w:tcPr>
          <w:p w:rsidR="00D06238" w:rsidRDefault="00FC1D58" w:rsidP="00CD163A">
            <w:pPr>
              <w:spacing w:before="120" w:after="120" w:line="240" w:lineRule="auto"/>
            </w:pPr>
            <w:r>
              <w:t>3.</w:t>
            </w:r>
          </w:p>
        </w:tc>
        <w:tc>
          <w:tcPr>
            <w:tcW w:w="5478" w:type="dxa"/>
            <w:tcBorders>
              <w:top w:val="single" w:sz="2" w:space="0" w:color="D6D1CA"/>
              <w:left w:val="nil"/>
              <w:bottom w:val="single" w:sz="2" w:space="0" w:color="D6D1CA"/>
            </w:tcBorders>
            <w:vAlign w:val="center"/>
          </w:tcPr>
          <w:p w:rsidR="00D06238" w:rsidRPr="0093450A" w:rsidRDefault="00FC1D58" w:rsidP="00CD163A">
            <w:pPr>
              <w:spacing w:before="120" w:after="120" w:line="240" w:lineRule="auto"/>
              <w:rPr>
                <w:rFonts w:ascii="Arial" w:hAnsi="Arial" w:cs="Arial"/>
                <w:color w:val="000000"/>
              </w:rPr>
            </w:pPr>
            <w:r>
              <w:t>Periphere Leitungsanästhesie der oberen Extremität</w:t>
            </w:r>
          </w:p>
        </w:tc>
        <w:tc>
          <w:tcPr>
            <w:tcW w:w="1134" w:type="dxa"/>
            <w:tcBorders>
              <w:top w:val="single" w:sz="2" w:space="0" w:color="D6D1CA"/>
              <w:bottom w:val="single" w:sz="2" w:space="0" w:color="D6D1CA"/>
            </w:tcBorders>
            <w:vAlign w:val="center"/>
          </w:tcPr>
          <w:p w:rsidR="00D06238" w:rsidRDefault="00D06238" w:rsidP="00CD163A">
            <w:pPr>
              <w:spacing w:before="120" w:after="120" w:line="240" w:lineRule="auto"/>
              <w:jc w:val="center"/>
            </w:pPr>
            <w:r>
              <w:t>20</w:t>
            </w:r>
          </w:p>
        </w:tc>
        <w:tc>
          <w:tcPr>
            <w:tcW w:w="2098" w:type="dxa"/>
            <w:tcBorders>
              <w:top w:val="single" w:sz="2" w:space="0" w:color="D6D1CA"/>
              <w:bottom w:val="single" w:sz="2" w:space="0" w:color="D6D1CA"/>
            </w:tcBorders>
            <w:vAlign w:val="center"/>
          </w:tcPr>
          <w:p w:rsidR="00D06238" w:rsidRDefault="00D06238" w:rsidP="00CD163A">
            <w:pPr>
              <w:spacing w:before="120" w:after="120" w:line="240" w:lineRule="auto"/>
              <w:jc w:val="center"/>
            </w:pPr>
          </w:p>
        </w:tc>
      </w:tr>
      <w:tr w:rsidR="00D06238" w:rsidTr="00FC1D58">
        <w:trPr>
          <w:trHeight w:val="340"/>
        </w:trPr>
        <w:tc>
          <w:tcPr>
            <w:tcW w:w="476" w:type="dxa"/>
            <w:tcBorders>
              <w:top w:val="single" w:sz="2" w:space="0" w:color="D6D1CA"/>
              <w:bottom w:val="single" w:sz="2" w:space="0" w:color="D6D1CA"/>
              <w:right w:val="nil"/>
            </w:tcBorders>
            <w:vAlign w:val="center"/>
          </w:tcPr>
          <w:p w:rsidR="00D06238" w:rsidRDefault="00FC1D58" w:rsidP="00CD163A">
            <w:pPr>
              <w:spacing w:before="120" w:after="120" w:line="240" w:lineRule="auto"/>
            </w:pPr>
            <w:r>
              <w:t>4.</w:t>
            </w:r>
          </w:p>
        </w:tc>
        <w:tc>
          <w:tcPr>
            <w:tcW w:w="5478" w:type="dxa"/>
            <w:tcBorders>
              <w:top w:val="single" w:sz="2" w:space="0" w:color="D6D1CA"/>
              <w:left w:val="nil"/>
              <w:bottom w:val="single" w:sz="2" w:space="0" w:color="D6D1CA"/>
            </w:tcBorders>
            <w:vAlign w:val="center"/>
          </w:tcPr>
          <w:p w:rsidR="00D06238" w:rsidRPr="0093450A" w:rsidRDefault="00FC1D58" w:rsidP="00CD163A">
            <w:pPr>
              <w:spacing w:before="120" w:after="120" w:line="240" w:lineRule="auto"/>
              <w:rPr>
                <w:rFonts w:ascii="Arial" w:hAnsi="Arial" w:cs="Arial"/>
                <w:color w:val="000000"/>
              </w:rPr>
            </w:pPr>
            <w:r>
              <w:t>Periphere Leitungsanästhesie der unteren Extremität</w:t>
            </w:r>
          </w:p>
        </w:tc>
        <w:tc>
          <w:tcPr>
            <w:tcW w:w="1134" w:type="dxa"/>
            <w:tcBorders>
              <w:top w:val="single" w:sz="2" w:space="0" w:color="D6D1CA"/>
              <w:bottom w:val="single" w:sz="2" w:space="0" w:color="D6D1CA"/>
            </w:tcBorders>
            <w:vAlign w:val="center"/>
          </w:tcPr>
          <w:p w:rsidR="00D06238" w:rsidRDefault="00FC1D58" w:rsidP="00CD163A">
            <w:pPr>
              <w:spacing w:before="120" w:after="120" w:line="240" w:lineRule="auto"/>
              <w:jc w:val="center"/>
            </w:pPr>
            <w:r>
              <w:t>20</w:t>
            </w:r>
          </w:p>
        </w:tc>
        <w:tc>
          <w:tcPr>
            <w:tcW w:w="2098" w:type="dxa"/>
            <w:tcBorders>
              <w:top w:val="single" w:sz="2" w:space="0" w:color="D6D1CA"/>
              <w:bottom w:val="single" w:sz="2" w:space="0" w:color="D6D1CA"/>
            </w:tcBorders>
            <w:vAlign w:val="center"/>
          </w:tcPr>
          <w:p w:rsidR="00D06238" w:rsidRDefault="00D06238" w:rsidP="00CD163A">
            <w:pPr>
              <w:spacing w:before="120" w:after="120" w:line="240" w:lineRule="auto"/>
              <w:jc w:val="center"/>
            </w:pPr>
          </w:p>
        </w:tc>
      </w:tr>
    </w:tbl>
    <w:p w:rsidR="00D06238" w:rsidRDefault="00D06238" w:rsidP="00D06238">
      <w:pPr>
        <w:spacing w:after="0" w:line="240" w:lineRule="auto"/>
        <w:rPr>
          <w:rFonts w:ascii="Arial" w:hAnsi="Arial" w:cs="Arial"/>
          <w:b/>
          <w:bCs/>
          <w:color w:val="000000"/>
          <w:szCs w:val="20"/>
        </w:rPr>
      </w:pPr>
    </w:p>
    <w:p w:rsidR="000824A6" w:rsidRDefault="000824A6" w:rsidP="00D06238">
      <w:pPr>
        <w:spacing w:after="0" w:line="240" w:lineRule="auto"/>
        <w:rPr>
          <w:rFonts w:ascii="Arial" w:hAnsi="Arial" w:cs="Arial"/>
          <w:b/>
          <w:bCs/>
          <w:color w:val="000000"/>
          <w:szCs w:val="20"/>
        </w:rPr>
      </w:pPr>
    </w:p>
    <w:p w:rsidR="00D06238" w:rsidRDefault="00D06238" w:rsidP="00D06238">
      <w:pPr>
        <w:spacing w:after="0" w:line="240" w:lineRule="auto"/>
        <w:rPr>
          <w:rFonts w:ascii="Arial" w:hAnsi="Arial" w:cs="Arial"/>
          <w:b/>
          <w:bCs/>
          <w:color w:val="000000"/>
          <w:szCs w:val="20"/>
        </w:rPr>
      </w:pPr>
    </w:p>
    <w:p w:rsidR="00D06238" w:rsidRDefault="00D06238" w:rsidP="00D06238">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D06238" w:rsidTr="00CD163A">
        <w:trPr>
          <w:trHeight w:val="595"/>
          <w:jc w:val="right"/>
        </w:trPr>
        <w:tc>
          <w:tcPr>
            <w:tcW w:w="2946" w:type="dxa"/>
          </w:tcPr>
          <w:p w:rsidR="00D06238" w:rsidRDefault="00D06238" w:rsidP="00CD163A">
            <w:pPr>
              <w:ind w:left="3"/>
              <w:jc w:val="right"/>
            </w:pPr>
            <w:r>
              <w:t>Datum, Unterschrift</w:t>
            </w:r>
          </w:p>
        </w:tc>
      </w:tr>
    </w:tbl>
    <w:p w:rsidR="00FC1D58" w:rsidRDefault="00FC1D58">
      <w:pPr>
        <w:spacing w:after="0" w:line="240" w:lineRule="auto"/>
        <w:rPr>
          <w:rFonts w:ascii="Wiener Melange Extra Bold" w:hAnsi="Wiener Melange Extra Bold" w:cs="Wiener Melange Extra Bold"/>
          <w:sz w:val="24"/>
        </w:rPr>
      </w:pPr>
    </w:p>
    <w:p w:rsidR="00FC1D58" w:rsidRPr="0093450A" w:rsidRDefault="00FC1D58" w:rsidP="00FC1D58">
      <w:pPr>
        <w:rPr>
          <w:rFonts w:ascii="Wiener Melange Extra Bold" w:hAnsi="Wiener Melange Extra Bold" w:cs="Wiener Melange Extra Bold"/>
          <w:sz w:val="24"/>
        </w:rPr>
      </w:pPr>
      <w:r>
        <w:rPr>
          <w:rFonts w:ascii="Wiener Melange Extra Bold" w:hAnsi="Wiener Melange Extra Bold" w:cs="Wiener Melange Extra Bold"/>
          <w:sz w:val="24"/>
        </w:rPr>
        <w:t>Modul 4</w:t>
      </w:r>
      <w:r w:rsidRPr="00FC1D58">
        <w:rPr>
          <w:rFonts w:ascii="Wiener Melange Extra Bold" w:hAnsi="Wiener Melange Extra Bold" w:cs="Wiener Melange Extra Bold"/>
          <w:sz w:val="24"/>
        </w:rPr>
        <w:t xml:space="preserve">: </w:t>
      </w:r>
      <w:r w:rsidRPr="00FC1D58">
        <w:rPr>
          <w:rFonts w:ascii="Wiener Melange Extra Bold" w:hAnsi="Wiener Melange Extra Bold" w:cs="Wiener Melange Extra Bold"/>
          <w:sz w:val="24"/>
        </w:rPr>
        <w:t>Pr</w:t>
      </w:r>
      <w:r>
        <w:rPr>
          <w:rFonts w:ascii="Wiener Melange Extra Bold" w:hAnsi="Wiener Melange Extra Bold" w:cs="Wiener Melange Extra Bold"/>
          <w:sz w:val="24"/>
        </w:rPr>
        <w:t>äoperative Patientenevaluierung</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FC1D58" w:rsidTr="00CD163A">
        <w:trPr>
          <w:trHeight w:val="737"/>
        </w:trPr>
        <w:tc>
          <w:tcPr>
            <w:tcW w:w="476" w:type="dxa"/>
            <w:tcBorders>
              <w:top w:val="nil"/>
              <w:bottom w:val="single" w:sz="2" w:space="0" w:color="D6D1CA"/>
              <w:right w:val="nil"/>
            </w:tcBorders>
            <w:shd w:val="clear" w:color="auto" w:fill="FF5A64"/>
            <w:vAlign w:val="center"/>
          </w:tcPr>
          <w:p w:rsidR="00FC1D58" w:rsidRPr="00FC1D58" w:rsidRDefault="00FC1D58" w:rsidP="00CD163A">
            <w:pPr>
              <w:tabs>
                <w:tab w:val="left" w:pos="421"/>
              </w:tabs>
              <w:spacing w:before="240"/>
              <w:rPr>
                <w:b/>
                <w:color w:val="FFFFFF" w:themeColor="background1"/>
              </w:rPr>
            </w:pPr>
            <w:r w:rsidRPr="00FC1D58">
              <w:rPr>
                <w:b/>
                <w:color w:val="FFFFFF" w:themeColor="background1"/>
              </w:rPr>
              <w:t>C)</w:t>
            </w:r>
          </w:p>
        </w:tc>
        <w:tc>
          <w:tcPr>
            <w:tcW w:w="5478" w:type="dxa"/>
            <w:tcBorders>
              <w:left w:val="nil"/>
            </w:tcBorders>
            <w:shd w:val="clear" w:color="auto" w:fill="FF5A64"/>
            <w:vAlign w:val="center"/>
          </w:tcPr>
          <w:p w:rsidR="00FC1D58" w:rsidRPr="00D53325" w:rsidRDefault="00FC1D58" w:rsidP="00CD163A">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FC1D58" w:rsidRPr="00FC1D58" w:rsidRDefault="00FC1D58" w:rsidP="00FC1D58">
            <w:pPr>
              <w:spacing w:before="240"/>
              <w:jc w:val="center"/>
              <w:rPr>
                <w:rFonts w:ascii="Arial" w:hAnsi="Arial" w:cs="Arial"/>
                <w:b/>
                <w:bCs/>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FC1D58" w:rsidRPr="00D53325" w:rsidRDefault="00FC1D58" w:rsidP="00CD163A">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FC1D58" w:rsidTr="00CD163A">
        <w:trPr>
          <w:trHeight w:val="340"/>
        </w:trPr>
        <w:tc>
          <w:tcPr>
            <w:tcW w:w="476" w:type="dxa"/>
            <w:tcBorders>
              <w:top w:val="single" w:sz="2" w:space="0" w:color="D6D1CA"/>
              <w:bottom w:val="single" w:sz="2" w:space="0" w:color="D6D1CA"/>
              <w:right w:val="nil"/>
            </w:tcBorders>
            <w:vAlign w:val="center"/>
          </w:tcPr>
          <w:p w:rsidR="00FC1D58" w:rsidRDefault="00FC1D58" w:rsidP="00CD163A">
            <w:pPr>
              <w:spacing w:before="120" w:after="120" w:line="240" w:lineRule="auto"/>
            </w:pPr>
            <w:r>
              <w:t>2.</w:t>
            </w:r>
          </w:p>
        </w:tc>
        <w:tc>
          <w:tcPr>
            <w:tcW w:w="5478" w:type="dxa"/>
            <w:tcBorders>
              <w:left w:val="nil"/>
            </w:tcBorders>
            <w:vAlign w:val="center"/>
          </w:tcPr>
          <w:p w:rsidR="00FC1D58" w:rsidRDefault="00FC1D58" w:rsidP="00CD163A">
            <w:pPr>
              <w:spacing w:before="120" w:after="120" w:line="240" w:lineRule="auto"/>
            </w:pPr>
            <w:r>
              <w:t>Präoperative Evaluierung und interdisziplinäre Optimierung kardiopulmonaler Begleiterkrankungen, Störungen des blutbildenden und endokrinen Systems</w:t>
            </w:r>
          </w:p>
        </w:tc>
        <w:tc>
          <w:tcPr>
            <w:tcW w:w="1134" w:type="dxa"/>
            <w:vAlign w:val="center"/>
          </w:tcPr>
          <w:p w:rsidR="00FC1D58" w:rsidRDefault="00FC1D58" w:rsidP="00CD163A">
            <w:pPr>
              <w:spacing w:before="120" w:after="120" w:line="240" w:lineRule="auto"/>
              <w:jc w:val="center"/>
            </w:pPr>
            <w:r>
              <w:t>200</w:t>
            </w:r>
          </w:p>
        </w:tc>
        <w:tc>
          <w:tcPr>
            <w:tcW w:w="2098" w:type="dxa"/>
            <w:vAlign w:val="center"/>
          </w:tcPr>
          <w:p w:rsidR="00FC1D58" w:rsidRDefault="00FC1D58" w:rsidP="00CD163A">
            <w:pPr>
              <w:spacing w:before="120" w:after="120" w:line="240" w:lineRule="auto"/>
              <w:jc w:val="center"/>
            </w:pPr>
          </w:p>
        </w:tc>
      </w:tr>
      <w:tr w:rsidR="00FC1D58" w:rsidTr="00CD163A">
        <w:trPr>
          <w:trHeight w:val="340"/>
        </w:trPr>
        <w:tc>
          <w:tcPr>
            <w:tcW w:w="476" w:type="dxa"/>
            <w:tcBorders>
              <w:top w:val="single" w:sz="2" w:space="0" w:color="D6D1CA"/>
              <w:bottom w:val="single" w:sz="2" w:space="0" w:color="D6D1CA"/>
              <w:right w:val="nil"/>
            </w:tcBorders>
            <w:vAlign w:val="center"/>
          </w:tcPr>
          <w:p w:rsidR="00FC1D58" w:rsidRDefault="00FC1D58" w:rsidP="00CD163A">
            <w:pPr>
              <w:spacing w:before="120" w:after="120" w:line="240" w:lineRule="auto"/>
            </w:pPr>
            <w:r>
              <w:t>9.</w:t>
            </w:r>
          </w:p>
        </w:tc>
        <w:tc>
          <w:tcPr>
            <w:tcW w:w="5478" w:type="dxa"/>
            <w:tcBorders>
              <w:left w:val="nil"/>
              <w:bottom w:val="single" w:sz="2" w:space="0" w:color="D6D1CA"/>
            </w:tcBorders>
            <w:vAlign w:val="center"/>
          </w:tcPr>
          <w:p w:rsidR="00FC1D58" w:rsidRDefault="00FC1D58" w:rsidP="00FC1D58">
            <w:pPr>
              <w:spacing w:before="120" w:after="120" w:line="240" w:lineRule="auto"/>
            </w:pPr>
            <w:r>
              <w:t>Interpretation:</w:t>
            </w:r>
          </w:p>
        </w:tc>
        <w:tc>
          <w:tcPr>
            <w:tcW w:w="1134" w:type="dxa"/>
            <w:tcBorders>
              <w:bottom w:val="single" w:sz="2" w:space="0" w:color="D6D1CA"/>
            </w:tcBorders>
            <w:vAlign w:val="center"/>
          </w:tcPr>
          <w:p w:rsidR="00FC1D58" w:rsidRDefault="00FC1D58" w:rsidP="00CD163A">
            <w:pPr>
              <w:spacing w:before="120" w:after="120" w:line="240" w:lineRule="auto"/>
              <w:jc w:val="center"/>
            </w:pPr>
          </w:p>
        </w:tc>
        <w:tc>
          <w:tcPr>
            <w:tcW w:w="2098" w:type="dxa"/>
            <w:tcBorders>
              <w:bottom w:val="single" w:sz="2" w:space="0" w:color="D6D1CA"/>
            </w:tcBorders>
            <w:vAlign w:val="center"/>
          </w:tcPr>
          <w:p w:rsidR="00FC1D58" w:rsidRDefault="00FC1D58" w:rsidP="00CD163A">
            <w:pPr>
              <w:spacing w:before="120" w:after="120" w:line="240" w:lineRule="auto"/>
              <w:jc w:val="center"/>
            </w:pPr>
          </w:p>
        </w:tc>
      </w:tr>
      <w:tr w:rsidR="00FC1D58" w:rsidTr="00CD163A">
        <w:trPr>
          <w:trHeight w:val="340"/>
        </w:trPr>
        <w:tc>
          <w:tcPr>
            <w:tcW w:w="476" w:type="dxa"/>
            <w:tcBorders>
              <w:top w:val="single" w:sz="2" w:space="0" w:color="D6D1CA"/>
              <w:bottom w:val="single" w:sz="2" w:space="0" w:color="D6D1CA"/>
              <w:right w:val="nil"/>
            </w:tcBorders>
            <w:vAlign w:val="center"/>
          </w:tcPr>
          <w:p w:rsidR="00FC1D58" w:rsidRDefault="00FC1D58" w:rsidP="00CD163A">
            <w:pPr>
              <w:spacing w:before="120" w:after="120" w:line="240" w:lineRule="auto"/>
            </w:pPr>
          </w:p>
        </w:tc>
        <w:tc>
          <w:tcPr>
            <w:tcW w:w="5478" w:type="dxa"/>
            <w:tcBorders>
              <w:top w:val="single" w:sz="2" w:space="0" w:color="D6D1CA"/>
              <w:left w:val="nil"/>
              <w:bottom w:val="single" w:sz="2" w:space="0" w:color="D6D1CA"/>
            </w:tcBorders>
            <w:vAlign w:val="center"/>
          </w:tcPr>
          <w:p w:rsidR="00FC1D58" w:rsidRDefault="00FC1D58" w:rsidP="00FC1D58">
            <w:pPr>
              <w:spacing w:before="120" w:after="120" w:line="240" w:lineRule="auto"/>
              <w:ind w:left="708"/>
            </w:pPr>
            <w:r>
              <w:t>13. Spirometrie</w:t>
            </w:r>
          </w:p>
        </w:tc>
        <w:tc>
          <w:tcPr>
            <w:tcW w:w="1134" w:type="dxa"/>
            <w:tcBorders>
              <w:top w:val="single" w:sz="2" w:space="0" w:color="D6D1CA"/>
              <w:bottom w:val="single" w:sz="2" w:space="0" w:color="D6D1CA"/>
            </w:tcBorders>
            <w:vAlign w:val="center"/>
          </w:tcPr>
          <w:p w:rsidR="00FC1D58" w:rsidRDefault="00FC1D58" w:rsidP="00CD163A">
            <w:pPr>
              <w:spacing w:before="120" w:after="120" w:line="240" w:lineRule="auto"/>
              <w:jc w:val="center"/>
            </w:pPr>
            <w:r>
              <w:t>50</w:t>
            </w:r>
          </w:p>
        </w:tc>
        <w:tc>
          <w:tcPr>
            <w:tcW w:w="2098" w:type="dxa"/>
            <w:tcBorders>
              <w:top w:val="single" w:sz="2" w:space="0" w:color="D6D1CA"/>
              <w:bottom w:val="single" w:sz="2" w:space="0" w:color="D6D1CA"/>
            </w:tcBorders>
            <w:vAlign w:val="center"/>
          </w:tcPr>
          <w:p w:rsidR="00FC1D58" w:rsidRDefault="00FC1D58" w:rsidP="00CD163A">
            <w:pPr>
              <w:spacing w:before="120" w:after="120" w:line="240" w:lineRule="auto"/>
              <w:jc w:val="center"/>
            </w:pPr>
          </w:p>
        </w:tc>
      </w:tr>
      <w:tr w:rsidR="00FC1D58" w:rsidTr="00CD163A">
        <w:trPr>
          <w:trHeight w:val="340"/>
        </w:trPr>
        <w:tc>
          <w:tcPr>
            <w:tcW w:w="476" w:type="dxa"/>
            <w:tcBorders>
              <w:top w:val="single" w:sz="2" w:space="0" w:color="D6D1CA"/>
              <w:bottom w:val="single" w:sz="2" w:space="0" w:color="D6D1CA"/>
              <w:right w:val="nil"/>
            </w:tcBorders>
            <w:vAlign w:val="center"/>
          </w:tcPr>
          <w:p w:rsidR="00FC1D58" w:rsidRDefault="00FC1D58" w:rsidP="00CD163A">
            <w:pPr>
              <w:spacing w:before="120" w:after="120" w:line="240" w:lineRule="auto"/>
            </w:pPr>
          </w:p>
        </w:tc>
        <w:tc>
          <w:tcPr>
            <w:tcW w:w="5478" w:type="dxa"/>
            <w:tcBorders>
              <w:top w:val="single" w:sz="2" w:space="0" w:color="D6D1CA"/>
              <w:left w:val="nil"/>
              <w:bottom w:val="single" w:sz="2" w:space="0" w:color="D6D1CA"/>
            </w:tcBorders>
            <w:vAlign w:val="center"/>
          </w:tcPr>
          <w:p w:rsidR="00FC1D58" w:rsidRPr="0093450A" w:rsidRDefault="00FC1D58" w:rsidP="00FC1D58">
            <w:pPr>
              <w:spacing w:before="120" w:after="120" w:line="240" w:lineRule="auto"/>
              <w:ind w:left="708"/>
              <w:rPr>
                <w:rFonts w:ascii="Arial" w:hAnsi="Arial" w:cs="Arial"/>
                <w:color w:val="000000"/>
              </w:rPr>
            </w:pPr>
            <w:r>
              <w:t>14. Arterielle Blutgasanalyse</w:t>
            </w:r>
          </w:p>
        </w:tc>
        <w:tc>
          <w:tcPr>
            <w:tcW w:w="1134" w:type="dxa"/>
            <w:tcBorders>
              <w:top w:val="single" w:sz="2" w:space="0" w:color="D6D1CA"/>
              <w:bottom w:val="single" w:sz="2" w:space="0" w:color="D6D1CA"/>
            </w:tcBorders>
            <w:vAlign w:val="center"/>
          </w:tcPr>
          <w:p w:rsidR="00FC1D58" w:rsidRDefault="00FC1D58" w:rsidP="00CD163A">
            <w:pPr>
              <w:spacing w:before="120" w:after="120" w:line="240" w:lineRule="auto"/>
              <w:jc w:val="center"/>
            </w:pPr>
            <w:r>
              <w:t>50</w:t>
            </w:r>
          </w:p>
        </w:tc>
        <w:tc>
          <w:tcPr>
            <w:tcW w:w="2098" w:type="dxa"/>
            <w:tcBorders>
              <w:top w:val="single" w:sz="2" w:space="0" w:color="D6D1CA"/>
              <w:bottom w:val="single" w:sz="2" w:space="0" w:color="D6D1CA"/>
            </w:tcBorders>
            <w:vAlign w:val="center"/>
          </w:tcPr>
          <w:p w:rsidR="00FC1D58" w:rsidRDefault="00FC1D58" w:rsidP="00CD163A">
            <w:pPr>
              <w:spacing w:before="120" w:after="120" w:line="240" w:lineRule="auto"/>
              <w:jc w:val="center"/>
            </w:pPr>
          </w:p>
        </w:tc>
      </w:tr>
    </w:tbl>
    <w:p w:rsidR="00FC1D58" w:rsidRDefault="00FC1D58" w:rsidP="00FC1D58">
      <w:pPr>
        <w:spacing w:after="0" w:line="240" w:lineRule="auto"/>
        <w:rPr>
          <w:rFonts w:ascii="Arial" w:hAnsi="Arial" w:cs="Arial"/>
          <w:b/>
          <w:bCs/>
          <w:color w:val="000000"/>
          <w:szCs w:val="20"/>
        </w:rPr>
      </w:pPr>
    </w:p>
    <w:p w:rsidR="00FC1D58" w:rsidRDefault="00FC1D58" w:rsidP="00FC1D58">
      <w:pPr>
        <w:spacing w:after="0" w:line="240" w:lineRule="auto"/>
        <w:rPr>
          <w:rFonts w:ascii="Arial" w:hAnsi="Arial" w:cs="Arial"/>
          <w:b/>
          <w:bCs/>
          <w:color w:val="000000"/>
          <w:szCs w:val="20"/>
        </w:rPr>
      </w:pPr>
    </w:p>
    <w:p w:rsidR="000824A6" w:rsidRDefault="000824A6" w:rsidP="00FC1D58">
      <w:pPr>
        <w:spacing w:after="0" w:line="240" w:lineRule="auto"/>
        <w:rPr>
          <w:rFonts w:ascii="Arial" w:hAnsi="Arial" w:cs="Arial"/>
          <w:b/>
          <w:bCs/>
          <w:color w:val="000000"/>
          <w:szCs w:val="20"/>
        </w:rPr>
      </w:pPr>
    </w:p>
    <w:p w:rsidR="00FC1D58" w:rsidRDefault="00FC1D58" w:rsidP="00FC1D58">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FC1D58" w:rsidTr="00CD163A">
        <w:trPr>
          <w:trHeight w:val="595"/>
          <w:jc w:val="right"/>
        </w:trPr>
        <w:tc>
          <w:tcPr>
            <w:tcW w:w="2946" w:type="dxa"/>
          </w:tcPr>
          <w:p w:rsidR="00FC1D58" w:rsidRDefault="00FC1D58" w:rsidP="00CD163A">
            <w:pPr>
              <w:ind w:left="3"/>
              <w:jc w:val="right"/>
            </w:pPr>
            <w:r>
              <w:t>Datum, Unterschrift</w:t>
            </w:r>
          </w:p>
        </w:tc>
      </w:tr>
    </w:tbl>
    <w:p w:rsidR="00FD5128" w:rsidRPr="0093450A" w:rsidRDefault="00FD5128" w:rsidP="00FD5128">
      <w:pPr>
        <w:rPr>
          <w:rFonts w:ascii="Wiener Melange Extra Bold" w:hAnsi="Wiener Melange Extra Bold" w:cs="Wiener Melange Extra Bold"/>
          <w:sz w:val="24"/>
        </w:rPr>
      </w:pPr>
      <w:r w:rsidRPr="00FD5128">
        <w:rPr>
          <w:rFonts w:ascii="Wiener Melange Extra Bold" w:hAnsi="Wiener Melange Extra Bold" w:cs="Wiener Melange Extra Bold"/>
          <w:sz w:val="24"/>
        </w:rPr>
        <w:t>Modul 5: Notfallmedizin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508"/>
        <w:gridCol w:w="5318"/>
        <w:gridCol w:w="1275"/>
        <w:gridCol w:w="2095"/>
      </w:tblGrid>
      <w:tr w:rsidR="00FD5128" w:rsidTr="002B1AAF">
        <w:trPr>
          <w:trHeight w:val="737"/>
        </w:trPr>
        <w:tc>
          <w:tcPr>
            <w:tcW w:w="508" w:type="dxa"/>
            <w:tcBorders>
              <w:top w:val="nil"/>
              <w:bottom w:val="single" w:sz="2" w:space="0" w:color="D6D1CA"/>
              <w:right w:val="nil"/>
            </w:tcBorders>
            <w:shd w:val="clear" w:color="auto" w:fill="FF5A64"/>
            <w:vAlign w:val="center"/>
          </w:tcPr>
          <w:p w:rsidR="00FD5128" w:rsidRPr="00FC1D58" w:rsidRDefault="00FD5128" w:rsidP="00CD163A">
            <w:pPr>
              <w:tabs>
                <w:tab w:val="left" w:pos="421"/>
              </w:tabs>
              <w:spacing w:before="240"/>
              <w:rPr>
                <w:b/>
                <w:color w:val="FFFFFF" w:themeColor="background1"/>
              </w:rPr>
            </w:pPr>
            <w:r w:rsidRPr="00FC1D58">
              <w:rPr>
                <w:b/>
                <w:color w:val="FFFFFF" w:themeColor="background1"/>
              </w:rPr>
              <w:t>C)</w:t>
            </w:r>
          </w:p>
        </w:tc>
        <w:tc>
          <w:tcPr>
            <w:tcW w:w="5318" w:type="dxa"/>
            <w:tcBorders>
              <w:left w:val="nil"/>
            </w:tcBorders>
            <w:shd w:val="clear" w:color="auto" w:fill="FF5A64"/>
            <w:vAlign w:val="center"/>
          </w:tcPr>
          <w:p w:rsidR="00FD5128" w:rsidRPr="00D53325" w:rsidRDefault="00FD5128" w:rsidP="00CD163A">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275" w:type="dxa"/>
            <w:shd w:val="clear" w:color="auto" w:fill="FF5A64"/>
            <w:vAlign w:val="center"/>
          </w:tcPr>
          <w:p w:rsidR="00FD5128" w:rsidRPr="00FC1D58" w:rsidRDefault="00FD5128" w:rsidP="00CD163A">
            <w:pPr>
              <w:spacing w:before="240"/>
              <w:jc w:val="center"/>
              <w:rPr>
                <w:rFonts w:ascii="Arial" w:hAnsi="Arial" w:cs="Arial"/>
                <w:b/>
                <w:bCs/>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5" w:type="dxa"/>
            <w:shd w:val="clear" w:color="auto" w:fill="FF5A64"/>
            <w:vAlign w:val="center"/>
          </w:tcPr>
          <w:p w:rsidR="00FD5128" w:rsidRPr="00D53325" w:rsidRDefault="00FD5128" w:rsidP="00CD163A">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13.</w:t>
            </w:r>
          </w:p>
        </w:tc>
        <w:tc>
          <w:tcPr>
            <w:tcW w:w="5318" w:type="dxa"/>
            <w:tcBorders>
              <w:left w:val="nil"/>
            </w:tcBorders>
            <w:vAlign w:val="center"/>
          </w:tcPr>
          <w:p w:rsidR="00FD5128" w:rsidRDefault="00FD5128" w:rsidP="00CD163A">
            <w:pPr>
              <w:spacing w:before="120" w:after="120" w:line="240" w:lineRule="auto"/>
            </w:pPr>
            <w:r>
              <w:t>Triageübungen</w:t>
            </w:r>
          </w:p>
        </w:tc>
        <w:tc>
          <w:tcPr>
            <w:tcW w:w="1275" w:type="dxa"/>
            <w:vAlign w:val="center"/>
          </w:tcPr>
          <w:p w:rsidR="00FD5128" w:rsidRDefault="00FD5128" w:rsidP="00CD163A">
            <w:pPr>
              <w:spacing w:before="120" w:after="120" w:line="240" w:lineRule="auto"/>
              <w:jc w:val="center"/>
            </w:pPr>
            <w:r>
              <w:t>4 Stunden</w:t>
            </w:r>
          </w:p>
        </w:tc>
        <w:tc>
          <w:tcPr>
            <w:tcW w:w="2095" w:type="dxa"/>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14.</w:t>
            </w:r>
          </w:p>
        </w:tc>
        <w:tc>
          <w:tcPr>
            <w:tcW w:w="5318" w:type="dxa"/>
            <w:tcBorders>
              <w:left w:val="nil"/>
              <w:bottom w:val="single" w:sz="2" w:space="0" w:color="D6D1CA"/>
            </w:tcBorders>
            <w:vAlign w:val="center"/>
          </w:tcPr>
          <w:p w:rsidR="00FD5128" w:rsidRDefault="00FD5128" w:rsidP="00CD163A">
            <w:pPr>
              <w:spacing w:before="120" w:after="120" w:line="240" w:lineRule="auto"/>
            </w:pPr>
            <w:r>
              <w:t>Einsätze im Rahmen eines Herzalarms oder Medical Emergency Teams</w:t>
            </w:r>
          </w:p>
        </w:tc>
        <w:tc>
          <w:tcPr>
            <w:tcW w:w="1275" w:type="dxa"/>
            <w:tcBorders>
              <w:bottom w:val="single" w:sz="2" w:space="0" w:color="D6D1CA"/>
            </w:tcBorders>
            <w:vAlign w:val="center"/>
          </w:tcPr>
          <w:p w:rsidR="00FD5128" w:rsidRDefault="00FD5128" w:rsidP="00CD163A">
            <w:pPr>
              <w:spacing w:before="120" w:after="120" w:line="240" w:lineRule="auto"/>
              <w:jc w:val="center"/>
            </w:pPr>
            <w:r>
              <w:t>5</w:t>
            </w:r>
          </w:p>
        </w:tc>
        <w:tc>
          <w:tcPr>
            <w:tcW w:w="2095" w:type="dxa"/>
            <w:tcBorders>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15.</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Erstuntersuchung und interdisziplinäre Behandlung konservativer Notfallpatientinnen und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30</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16.</w:t>
            </w:r>
          </w:p>
        </w:tc>
        <w:tc>
          <w:tcPr>
            <w:tcW w:w="5318" w:type="dxa"/>
            <w:tcBorders>
              <w:top w:val="single" w:sz="2" w:space="0" w:color="D6D1CA"/>
              <w:left w:val="nil"/>
              <w:bottom w:val="single" w:sz="2" w:space="0" w:color="D6D1CA"/>
            </w:tcBorders>
            <w:vAlign w:val="center"/>
          </w:tcPr>
          <w:p w:rsidR="00FD5128" w:rsidRPr="0093450A" w:rsidRDefault="00FD5128" w:rsidP="00FD5128">
            <w:pPr>
              <w:spacing w:before="120" w:after="120" w:line="240" w:lineRule="auto"/>
              <w:rPr>
                <w:rFonts w:ascii="Arial" w:hAnsi="Arial" w:cs="Arial"/>
                <w:color w:val="000000"/>
              </w:rPr>
            </w:pPr>
            <w:r>
              <w:t>Erstuntersuchung und interdisziplinäre Behandlung traumatologischer Notfallpatientinnen und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30</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17.</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Anästhesieeinleitung bei Notfallpatientinnen und –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lastRenderedPageBreak/>
              <w:t>18.</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Antemwegsmanagement bei Notfallpatientinnen und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19.</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Differenzierte Beatmung von Notfallpatientinnen und -patienten (invasiv/nicht invasiv)</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20.</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Versorgung von Patientinnen und Patienten mit schwierigem Atemweg</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2</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21.</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 xml:space="preserve">Zentrale Gefäßzugänge bei Notfallpatientinnen und </w:t>
            </w:r>
            <w:r>
              <w:t>–</w:t>
            </w:r>
            <w:r>
              <w:t xml:space="preserve">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22.</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 xml:space="preserve">Arterielles Monitoring bei Notfallpatientinnen und </w:t>
            </w:r>
            <w:r>
              <w:t>–</w:t>
            </w:r>
            <w:r>
              <w:t xml:space="preserve"> patienten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23.</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Intraossärer Zugang</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3*</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24.</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Thoraxdrainage und Pleurapunktion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25.</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Behandlung von Patientinnen und Patienten in lebensbedrohlichen Notfallsituationen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5</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26.</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Reanimation von Kindern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2*</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27.</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Postmortale Versorgung des Neugeborenen</w:t>
            </w:r>
          </w:p>
        </w:tc>
        <w:tc>
          <w:tcPr>
            <w:tcW w:w="1275" w:type="dxa"/>
            <w:tcBorders>
              <w:top w:val="single" w:sz="2" w:space="0" w:color="D6D1CA"/>
              <w:bottom w:val="single" w:sz="2" w:space="0" w:color="D6D1CA"/>
            </w:tcBorders>
            <w:vAlign w:val="center"/>
          </w:tcPr>
          <w:p w:rsidR="00FD5128" w:rsidRDefault="00FD5128" w:rsidP="00CD163A">
            <w:pPr>
              <w:spacing w:before="120" w:after="120" w:line="240" w:lineRule="auto"/>
              <w:jc w:val="center"/>
            </w:pPr>
            <w:r>
              <w:t>2*</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FD5128" w:rsidTr="002B1AAF">
        <w:trPr>
          <w:trHeight w:val="340"/>
        </w:trPr>
        <w:tc>
          <w:tcPr>
            <w:tcW w:w="508" w:type="dxa"/>
            <w:tcBorders>
              <w:top w:val="single" w:sz="2" w:space="0" w:color="D6D1CA"/>
              <w:bottom w:val="single" w:sz="2" w:space="0" w:color="D6D1CA"/>
              <w:right w:val="nil"/>
            </w:tcBorders>
            <w:vAlign w:val="center"/>
          </w:tcPr>
          <w:p w:rsidR="00FD5128" w:rsidRDefault="00FD5128" w:rsidP="00CD163A">
            <w:pPr>
              <w:spacing w:before="120" w:after="120" w:line="240" w:lineRule="auto"/>
            </w:pPr>
            <w:r>
              <w:t>28.</w:t>
            </w:r>
          </w:p>
        </w:tc>
        <w:tc>
          <w:tcPr>
            <w:tcW w:w="5318" w:type="dxa"/>
            <w:tcBorders>
              <w:top w:val="single" w:sz="2" w:space="0" w:color="D6D1CA"/>
              <w:left w:val="nil"/>
              <w:bottom w:val="single" w:sz="2" w:space="0" w:color="D6D1CA"/>
            </w:tcBorders>
            <w:vAlign w:val="center"/>
          </w:tcPr>
          <w:p w:rsidR="00FD5128" w:rsidRDefault="00FD5128" w:rsidP="00FD5128">
            <w:pPr>
              <w:spacing w:before="120" w:after="120" w:line="240" w:lineRule="auto"/>
            </w:pPr>
            <w:r>
              <w:t>Durchführung von innerklinischen Transporten oder Interhospitaltransporten beatmeter Patientinnen und Patienten</w:t>
            </w:r>
          </w:p>
        </w:tc>
        <w:tc>
          <w:tcPr>
            <w:tcW w:w="1275" w:type="dxa"/>
            <w:tcBorders>
              <w:top w:val="single" w:sz="2" w:space="0" w:color="D6D1CA"/>
              <w:bottom w:val="single" w:sz="2" w:space="0" w:color="D6D1CA"/>
            </w:tcBorders>
            <w:vAlign w:val="center"/>
          </w:tcPr>
          <w:p w:rsidR="00FD5128" w:rsidRDefault="002B1AAF" w:rsidP="00CD163A">
            <w:pPr>
              <w:spacing w:before="120" w:after="120" w:line="240" w:lineRule="auto"/>
              <w:jc w:val="center"/>
            </w:pPr>
            <w:r>
              <w:t>10</w:t>
            </w:r>
          </w:p>
        </w:tc>
        <w:tc>
          <w:tcPr>
            <w:tcW w:w="2095" w:type="dxa"/>
            <w:tcBorders>
              <w:top w:val="single" w:sz="2" w:space="0" w:color="D6D1CA"/>
              <w:bottom w:val="single" w:sz="2" w:space="0" w:color="D6D1CA"/>
            </w:tcBorders>
            <w:vAlign w:val="center"/>
          </w:tcPr>
          <w:p w:rsidR="00FD5128" w:rsidRDefault="00FD5128" w:rsidP="00CD163A">
            <w:pPr>
              <w:spacing w:before="120" w:after="120" w:line="240" w:lineRule="auto"/>
              <w:jc w:val="center"/>
            </w:pPr>
          </w:p>
        </w:tc>
      </w:tr>
      <w:tr w:rsidR="002B1AAF" w:rsidTr="00E75794">
        <w:trPr>
          <w:trHeight w:val="340"/>
        </w:trPr>
        <w:tc>
          <w:tcPr>
            <w:tcW w:w="9196" w:type="dxa"/>
            <w:gridSpan w:val="4"/>
            <w:tcBorders>
              <w:top w:val="single" w:sz="2" w:space="0" w:color="D6D1CA"/>
              <w:bottom w:val="single" w:sz="2" w:space="0" w:color="D6D1CA"/>
            </w:tcBorders>
            <w:vAlign w:val="center"/>
          </w:tcPr>
          <w:p w:rsidR="002B1AAF" w:rsidRDefault="002B1AAF" w:rsidP="002B1AAF">
            <w:pPr>
              <w:spacing w:before="120" w:after="120" w:line="240" w:lineRule="auto"/>
            </w:pPr>
            <w:r>
              <w:t>*Das Erlernen dieser Fähigkeit ist auch am (anatomischen) Modell bzw. im Simulator möglich.</w:t>
            </w:r>
          </w:p>
        </w:tc>
      </w:tr>
    </w:tbl>
    <w:p w:rsidR="00FD5128" w:rsidRDefault="00FD5128" w:rsidP="00FD5128">
      <w:pPr>
        <w:spacing w:after="0" w:line="240" w:lineRule="auto"/>
        <w:rPr>
          <w:rFonts w:ascii="Arial" w:hAnsi="Arial" w:cs="Arial"/>
          <w:b/>
          <w:bCs/>
          <w:color w:val="000000"/>
          <w:szCs w:val="20"/>
        </w:rPr>
      </w:pPr>
    </w:p>
    <w:p w:rsidR="00FD5128" w:rsidRDefault="00FD5128" w:rsidP="00FD5128">
      <w:pPr>
        <w:spacing w:after="0" w:line="240" w:lineRule="auto"/>
        <w:rPr>
          <w:rFonts w:ascii="Arial" w:hAnsi="Arial" w:cs="Arial"/>
          <w:b/>
          <w:bCs/>
          <w:color w:val="000000"/>
          <w:szCs w:val="20"/>
        </w:rPr>
      </w:pPr>
    </w:p>
    <w:p w:rsidR="00FD5128" w:rsidRDefault="00FD5128" w:rsidP="00FD5128">
      <w:pPr>
        <w:spacing w:after="0" w:line="240" w:lineRule="auto"/>
        <w:rPr>
          <w:rFonts w:ascii="Arial" w:hAnsi="Arial" w:cs="Arial"/>
          <w:b/>
          <w:bCs/>
          <w:color w:val="000000"/>
          <w:szCs w:val="20"/>
        </w:rPr>
      </w:pPr>
    </w:p>
    <w:p w:rsidR="00FD5128" w:rsidRDefault="00FD5128" w:rsidP="00FD5128">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FD5128" w:rsidTr="00CD163A">
        <w:trPr>
          <w:trHeight w:val="595"/>
          <w:jc w:val="right"/>
        </w:trPr>
        <w:tc>
          <w:tcPr>
            <w:tcW w:w="2946" w:type="dxa"/>
          </w:tcPr>
          <w:p w:rsidR="00FD5128" w:rsidRDefault="00FD5128" w:rsidP="00CD163A">
            <w:pPr>
              <w:ind w:left="3"/>
              <w:jc w:val="right"/>
            </w:pPr>
            <w:r>
              <w:t>Datum, Unterschrift</w:t>
            </w:r>
          </w:p>
        </w:tc>
      </w:tr>
    </w:tbl>
    <w:p w:rsidR="000824A6" w:rsidRDefault="000824A6" w:rsidP="00F02785">
      <w:pPr>
        <w:spacing w:after="0" w:line="240" w:lineRule="auto"/>
        <w:rPr>
          <w:rFonts w:ascii="Arial" w:hAnsi="Arial" w:cs="Arial"/>
          <w:b/>
          <w:bCs/>
          <w:color w:val="000000"/>
          <w:szCs w:val="20"/>
        </w:rPr>
      </w:pPr>
    </w:p>
    <w:p w:rsidR="000824A6" w:rsidRDefault="000824A6">
      <w:pPr>
        <w:spacing w:after="0" w:line="240" w:lineRule="auto"/>
        <w:rPr>
          <w:rFonts w:ascii="Arial" w:hAnsi="Arial" w:cs="Arial"/>
          <w:b/>
          <w:bCs/>
          <w:color w:val="000000"/>
          <w:szCs w:val="20"/>
        </w:rPr>
      </w:pPr>
      <w:r>
        <w:rPr>
          <w:rFonts w:ascii="Arial" w:hAnsi="Arial" w:cs="Arial"/>
          <w:b/>
          <w:bCs/>
          <w:color w:val="000000"/>
          <w:szCs w:val="20"/>
        </w:rPr>
        <w:br w:type="page"/>
      </w:r>
    </w:p>
    <w:p w:rsidR="000824A6" w:rsidRPr="0093450A" w:rsidRDefault="000824A6" w:rsidP="000824A6">
      <w:pPr>
        <w:rPr>
          <w:rFonts w:ascii="Wiener Melange Extra Bold" w:hAnsi="Wiener Melange Extra Bold" w:cs="Wiener Melange Extra Bold"/>
          <w:sz w:val="24"/>
        </w:rPr>
      </w:pPr>
      <w:r w:rsidRPr="000824A6">
        <w:rPr>
          <w:rFonts w:ascii="Wiener Melange Extra Bold" w:hAnsi="Wiener Melange Extra Bold" w:cs="Wiener Melange Extra Bold"/>
          <w:sz w:val="24"/>
        </w:rPr>
        <w:lastRenderedPageBreak/>
        <w:t>Modul 6: Schmerzmedizin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0824A6" w:rsidTr="00CD163A">
        <w:trPr>
          <w:trHeight w:val="737"/>
        </w:trPr>
        <w:tc>
          <w:tcPr>
            <w:tcW w:w="476" w:type="dxa"/>
            <w:tcBorders>
              <w:top w:val="nil"/>
              <w:bottom w:val="single" w:sz="2" w:space="0" w:color="D6D1CA"/>
              <w:right w:val="nil"/>
            </w:tcBorders>
            <w:shd w:val="clear" w:color="auto" w:fill="FF5A64"/>
            <w:vAlign w:val="center"/>
          </w:tcPr>
          <w:p w:rsidR="000824A6" w:rsidRPr="00FC1D58" w:rsidRDefault="000824A6" w:rsidP="00CD163A">
            <w:pPr>
              <w:tabs>
                <w:tab w:val="left" w:pos="421"/>
              </w:tabs>
              <w:spacing w:before="240"/>
              <w:rPr>
                <w:b/>
                <w:color w:val="FFFFFF" w:themeColor="background1"/>
              </w:rPr>
            </w:pPr>
            <w:r w:rsidRPr="00FC1D58">
              <w:rPr>
                <w:b/>
                <w:color w:val="FFFFFF" w:themeColor="background1"/>
              </w:rPr>
              <w:t>C)</w:t>
            </w:r>
          </w:p>
        </w:tc>
        <w:tc>
          <w:tcPr>
            <w:tcW w:w="5478" w:type="dxa"/>
            <w:tcBorders>
              <w:left w:val="nil"/>
            </w:tcBorders>
            <w:shd w:val="clear" w:color="auto" w:fill="FF5A64"/>
            <w:vAlign w:val="center"/>
          </w:tcPr>
          <w:p w:rsidR="000824A6" w:rsidRPr="00D53325" w:rsidRDefault="000824A6" w:rsidP="00CD163A">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0824A6" w:rsidRPr="00FC1D58" w:rsidRDefault="000824A6" w:rsidP="00CD163A">
            <w:pPr>
              <w:spacing w:before="240"/>
              <w:jc w:val="center"/>
              <w:rPr>
                <w:rFonts w:ascii="Arial" w:hAnsi="Arial" w:cs="Arial"/>
                <w:b/>
                <w:bCs/>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0824A6" w:rsidRPr="00D53325" w:rsidRDefault="000824A6" w:rsidP="00CD163A">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1.</w:t>
            </w:r>
          </w:p>
        </w:tc>
        <w:tc>
          <w:tcPr>
            <w:tcW w:w="5478" w:type="dxa"/>
            <w:tcBorders>
              <w:left w:val="nil"/>
            </w:tcBorders>
            <w:vAlign w:val="center"/>
          </w:tcPr>
          <w:p w:rsidR="000824A6" w:rsidRDefault="000824A6" w:rsidP="00CD163A">
            <w:pPr>
              <w:spacing w:before="120" w:after="120" w:line="240" w:lineRule="auto"/>
            </w:pPr>
            <w:r>
              <w:t>Patientinnen und Patienten in der innerklinischen, postoperativen Akutschmerzbetreuung</w:t>
            </w:r>
          </w:p>
        </w:tc>
        <w:tc>
          <w:tcPr>
            <w:tcW w:w="1134" w:type="dxa"/>
            <w:vAlign w:val="center"/>
          </w:tcPr>
          <w:p w:rsidR="000824A6" w:rsidRDefault="000824A6" w:rsidP="00CD163A">
            <w:pPr>
              <w:spacing w:before="120" w:after="120" w:line="240" w:lineRule="auto"/>
              <w:jc w:val="center"/>
            </w:pPr>
            <w:r>
              <w:t>50</w:t>
            </w:r>
          </w:p>
        </w:tc>
        <w:tc>
          <w:tcPr>
            <w:tcW w:w="2098" w:type="dxa"/>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2.</w:t>
            </w:r>
          </w:p>
        </w:tc>
        <w:tc>
          <w:tcPr>
            <w:tcW w:w="5478" w:type="dxa"/>
            <w:tcBorders>
              <w:left w:val="nil"/>
              <w:bottom w:val="single" w:sz="2" w:space="0" w:color="D6D1CA"/>
            </w:tcBorders>
            <w:vAlign w:val="center"/>
          </w:tcPr>
          <w:p w:rsidR="000824A6" w:rsidRDefault="000824A6" w:rsidP="00CD163A">
            <w:pPr>
              <w:spacing w:before="120" w:after="120" w:line="240" w:lineRule="auto"/>
            </w:pPr>
            <w:r>
              <w:t>Anwendung komplexer Akutschmerz</w:t>
            </w:r>
            <w:r>
              <w:t>-</w:t>
            </w:r>
            <w:r>
              <w:t>Behandlungskonzepte inkl. Verlaufskontrollen:</w:t>
            </w:r>
          </w:p>
        </w:tc>
        <w:tc>
          <w:tcPr>
            <w:tcW w:w="1134" w:type="dxa"/>
            <w:tcBorders>
              <w:bottom w:val="single" w:sz="2" w:space="0" w:color="D6D1CA"/>
            </w:tcBorders>
            <w:vAlign w:val="center"/>
          </w:tcPr>
          <w:p w:rsidR="000824A6" w:rsidRDefault="000824A6" w:rsidP="00CD163A">
            <w:pPr>
              <w:spacing w:before="120" w:after="120" w:line="240" w:lineRule="auto"/>
              <w:jc w:val="center"/>
            </w:pPr>
            <w:r>
              <w:t>20</w:t>
            </w:r>
          </w:p>
        </w:tc>
        <w:tc>
          <w:tcPr>
            <w:tcW w:w="2098" w:type="dxa"/>
            <w:tcBorders>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3.</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Einsatz von SchmerzFremdbeurteilungsinstrumenten</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10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4.</w:t>
            </w:r>
          </w:p>
        </w:tc>
        <w:tc>
          <w:tcPr>
            <w:tcW w:w="5478" w:type="dxa"/>
            <w:tcBorders>
              <w:top w:val="single" w:sz="2" w:space="0" w:color="D6D1CA"/>
              <w:left w:val="nil"/>
              <w:bottom w:val="single" w:sz="2" w:space="0" w:color="D6D1CA"/>
            </w:tcBorders>
            <w:vAlign w:val="center"/>
          </w:tcPr>
          <w:p w:rsidR="000824A6" w:rsidRPr="0093450A" w:rsidRDefault="000824A6" w:rsidP="000824A6">
            <w:pPr>
              <w:spacing w:before="120" w:after="120" w:line="240" w:lineRule="auto"/>
              <w:rPr>
                <w:rFonts w:ascii="Arial" w:hAnsi="Arial" w:cs="Arial"/>
                <w:color w:val="000000"/>
              </w:rPr>
            </w:pPr>
            <w:r>
              <w:t>Umgang/Betreuung invasiver Akutschmerztherapie</w:t>
            </w:r>
            <w:r>
              <w:t>-</w:t>
            </w:r>
            <w:r>
              <w:t>verfahren</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50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5.</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Erhebung einer Akutschmerzanamnese</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20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6.</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Erhebung einer biopsychosozialen Schmerzanamnese</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10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7.</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Durchführung eines neuroorthopädischen Status</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10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8.</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Auswertung und Interpretation spezieller Fragebögen</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5</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9.</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Fallpräsentation an interdisziplinären Fallkonferenzen</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3</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10.</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Planung und Besprechung eines Mechanismusbasierten Therapiekonzepts mit Kolleginnen und Kollegen, Patientinnen und Patienten, deren Angehörigen; Definition Behandlungsoptionen, klinische Ziele</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5</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11.</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Durchführung und Erfolgskontrolle von fachspezifischen invasiven Verfahren der Schmerztherapie z.B. Infiltrationen, Nervenblockaden, Kathetertechniken</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5</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r w:rsidR="000824A6" w:rsidTr="00CD163A">
        <w:trPr>
          <w:trHeight w:val="340"/>
        </w:trPr>
        <w:tc>
          <w:tcPr>
            <w:tcW w:w="476" w:type="dxa"/>
            <w:tcBorders>
              <w:top w:val="single" w:sz="2" w:space="0" w:color="D6D1CA"/>
              <w:bottom w:val="single" w:sz="2" w:space="0" w:color="D6D1CA"/>
              <w:right w:val="nil"/>
            </w:tcBorders>
            <w:vAlign w:val="center"/>
          </w:tcPr>
          <w:p w:rsidR="000824A6" w:rsidRDefault="000824A6" w:rsidP="00CD163A">
            <w:pPr>
              <w:spacing w:before="120" w:after="120" w:line="240" w:lineRule="auto"/>
            </w:pPr>
            <w:r>
              <w:t>12.</w:t>
            </w:r>
          </w:p>
        </w:tc>
        <w:tc>
          <w:tcPr>
            <w:tcW w:w="5478" w:type="dxa"/>
            <w:tcBorders>
              <w:top w:val="single" w:sz="2" w:space="0" w:color="D6D1CA"/>
              <w:left w:val="nil"/>
              <w:bottom w:val="single" w:sz="2" w:space="0" w:color="D6D1CA"/>
            </w:tcBorders>
            <w:vAlign w:val="center"/>
          </w:tcPr>
          <w:p w:rsidR="000824A6" w:rsidRDefault="000824A6" w:rsidP="000824A6">
            <w:pPr>
              <w:spacing w:before="120" w:after="120" w:line="240" w:lineRule="auto"/>
            </w:pPr>
            <w:r>
              <w:t>Behandlungsdokumentation von Schmerzpatientinnen und -patienten inkl. Behandlung und Prozeduren, Dokumentation der Schmerzentwicklung</w:t>
            </w:r>
          </w:p>
        </w:tc>
        <w:tc>
          <w:tcPr>
            <w:tcW w:w="1134" w:type="dxa"/>
            <w:tcBorders>
              <w:top w:val="single" w:sz="2" w:space="0" w:color="D6D1CA"/>
              <w:bottom w:val="single" w:sz="2" w:space="0" w:color="D6D1CA"/>
            </w:tcBorders>
            <w:vAlign w:val="center"/>
          </w:tcPr>
          <w:p w:rsidR="000824A6" w:rsidRDefault="000824A6" w:rsidP="00CD163A">
            <w:pPr>
              <w:spacing w:before="120" w:after="120" w:line="240" w:lineRule="auto"/>
              <w:jc w:val="center"/>
            </w:pPr>
            <w:r>
              <w:t>20</w:t>
            </w:r>
          </w:p>
        </w:tc>
        <w:tc>
          <w:tcPr>
            <w:tcW w:w="2098" w:type="dxa"/>
            <w:tcBorders>
              <w:top w:val="single" w:sz="2" w:space="0" w:color="D6D1CA"/>
              <w:bottom w:val="single" w:sz="2" w:space="0" w:color="D6D1CA"/>
            </w:tcBorders>
            <w:vAlign w:val="center"/>
          </w:tcPr>
          <w:p w:rsidR="000824A6" w:rsidRDefault="000824A6" w:rsidP="00CD163A">
            <w:pPr>
              <w:spacing w:before="120" w:after="120" w:line="240" w:lineRule="auto"/>
              <w:jc w:val="center"/>
            </w:pPr>
          </w:p>
        </w:tc>
      </w:tr>
    </w:tbl>
    <w:p w:rsidR="000824A6" w:rsidRDefault="000824A6" w:rsidP="000824A6">
      <w:pPr>
        <w:spacing w:after="0" w:line="240" w:lineRule="auto"/>
        <w:rPr>
          <w:rFonts w:ascii="Arial" w:hAnsi="Arial" w:cs="Arial"/>
          <w:b/>
          <w:bCs/>
          <w:color w:val="000000"/>
          <w:szCs w:val="20"/>
        </w:rPr>
      </w:pPr>
    </w:p>
    <w:p w:rsidR="000824A6" w:rsidRDefault="000824A6" w:rsidP="000824A6">
      <w:pPr>
        <w:spacing w:after="0" w:line="240" w:lineRule="auto"/>
        <w:rPr>
          <w:rFonts w:ascii="Arial" w:hAnsi="Arial" w:cs="Arial"/>
          <w:b/>
          <w:bCs/>
          <w:color w:val="000000"/>
          <w:szCs w:val="20"/>
        </w:rPr>
      </w:pPr>
    </w:p>
    <w:p w:rsidR="000824A6" w:rsidRDefault="000824A6" w:rsidP="000824A6">
      <w:pPr>
        <w:spacing w:after="0" w:line="240" w:lineRule="auto"/>
        <w:rPr>
          <w:rFonts w:ascii="Arial" w:hAnsi="Arial" w:cs="Arial"/>
          <w:b/>
          <w:bCs/>
          <w:color w:val="000000"/>
          <w:szCs w:val="20"/>
        </w:rPr>
      </w:pPr>
    </w:p>
    <w:p w:rsidR="000824A6" w:rsidRDefault="000824A6" w:rsidP="000824A6">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0824A6" w:rsidTr="00CD163A">
        <w:trPr>
          <w:trHeight w:val="595"/>
          <w:jc w:val="right"/>
        </w:trPr>
        <w:tc>
          <w:tcPr>
            <w:tcW w:w="2946" w:type="dxa"/>
          </w:tcPr>
          <w:p w:rsidR="000824A6" w:rsidRDefault="000824A6" w:rsidP="00CD163A">
            <w:pPr>
              <w:ind w:left="3"/>
              <w:jc w:val="right"/>
            </w:pPr>
            <w:r>
              <w:t>Datum, Unterschrift</w:t>
            </w:r>
          </w:p>
        </w:tc>
      </w:tr>
    </w:tbl>
    <w:p w:rsidR="00FE576D" w:rsidRDefault="00FE576D" w:rsidP="00F02785">
      <w:pPr>
        <w:spacing w:after="0" w:line="240" w:lineRule="auto"/>
        <w:rPr>
          <w:rFonts w:ascii="Arial" w:hAnsi="Arial" w:cs="Arial"/>
          <w:b/>
          <w:bCs/>
          <w:color w:val="000000"/>
          <w:szCs w:val="20"/>
        </w:rPr>
      </w:pPr>
    </w:p>
    <w:sectPr w:rsidR="00FE576D" w:rsidSect="000824A6">
      <w:headerReference w:type="even" r:id="rId7"/>
      <w:headerReference w:type="default" r:id="rId8"/>
      <w:footerReference w:type="default" r:id="rId9"/>
      <w:headerReference w:type="first" r:id="rId10"/>
      <w:footerReference w:type="first" r:id="rId11"/>
      <w:type w:val="continuous"/>
      <w:pgSz w:w="11900" w:h="16840"/>
      <w:pgMar w:top="1701" w:right="1060" w:bottom="1418" w:left="1644" w:header="720"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4" w:rsidRDefault="00A41504" w:rsidP="00D87492">
      <w:pPr>
        <w:spacing w:after="0" w:line="240" w:lineRule="auto"/>
      </w:pPr>
      <w:r>
        <w:separator/>
      </w:r>
    </w:p>
  </w:endnote>
  <w:endnote w:type="continuationSeparator" w:id="0">
    <w:p w:rsidR="00A41504" w:rsidRDefault="00A41504" w:rsidP="00D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Wiener Melange Cd">
    <w:panose1 w:val="020B0506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Pr="000824A6" w:rsidRDefault="000824A6" w:rsidP="000824A6">
    <w:pPr>
      <w:pStyle w:val="Fuzeile"/>
    </w:pPr>
    <w:r>
      <w:t>Leistungszahlen Anästhesiologie und Intensivmedizin ab 01.01.2020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58" w:rsidRPr="000824A6" w:rsidRDefault="000824A6" w:rsidP="000824A6">
    <w:pPr>
      <w:pStyle w:val="Fuzeile"/>
    </w:pPr>
    <w:r>
      <w:t>Leistungszahlen Anästhesiologie und Intensivmedizin ab 01.01.2020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4" w:rsidRDefault="00A41504" w:rsidP="00D87492">
      <w:pPr>
        <w:spacing w:after="0" w:line="240" w:lineRule="auto"/>
      </w:pPr>
      <w:r>
        <w:separator/>
      </w:r>
    </w:p>
  </w:footnote>
  <w:footnote w:type="continuationSeparator" w:id="0">
    <w:p w:rsidR="00A41504" w:rsidRDefault="00A41504" w:rsidP="00D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Default="00590724" w:rsidP="004B76E2">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2BB7" w:rsidRDefault="00473FC4" w:rsidP="00D02B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Pr="000352BF" w:rsidRDefault="00590724" w:rsidP="00CD78DE">
    <w:pPr>
      <w:pStyle w:val="Kopfzeile"/>
      <w:framePr w:h="2141" w:hRule="exact" w:wrap="none" w:vAnchor="text" w:hAnchor="page" w:x="10202" w:y="-27"/>
      <w:rPr>
        <w:rStyle w:val="Seitenzahl"/>
        <w:rFonts w:cs="Wiener Melange"/>
        <w:szCs w:val="20"/>
      </w:rPr>
    </w:pPr>
    <w:r w:rsidRPr="000352BF">
      <w:rPr>
        <w:rStyle w:val="Seitenzahl"/>
        <w:rFonts w:cs="Wiener Melange"/>
        <w:szCs w:val="20"/>
        <w:lang w:val="de-DE"/>
      </w:rPr>
      <w:t xml:space="preserve">Seite </w:t>
    </w:r>
    <w:r w:rsidRPr="000352BF">
      <w:rPr>
        <w:rStyle w:val="Seitenzahl"/>
        <w:rFonts w:cs="Wiener Melange"/>
        <w:szCs w:val="20"/>
      </w:rPr>
      <w:fldChar w:fldCharType="begin"/>
    </w:r>
    <w:r w:rsidRPr="000352BF">
      <w:rPr>
        <w:rStyle w:val="Seitenzahl"/>
        <w:rFonts w:cs="Wiener Melange"/>
        <w:szCs w:val="20"/>
      </w:rPr>
      <w:instrText>PAGE  \* Arabic  \* MERGEFORMAT</w:instrText>
    </w:r>
    <w:r w:rsidRPr="000352BF">
      <w:rPr>
        <w:rStyle w:val="Seitenzahl"/>
        <w:rFonts w:cs="Wiener Melange"/>
        <w:szCs w:val="20"/>
      </w:rPr>
      <w:fldChar w:fldCharType="separate"/>
    </w:r>
    <w:r w:rsidR="00473FC4" w:rsidRPr="00473FC4">
      <w:rPr>
        <w:rStyle w:val="Seitenzahl"/>
        <w:rFonts w:cs="Wiener Melange"/>
        <w:noProof/>
        <w:szCs w:val="20"/>
        <w:lang w:val="de-DE"/>
      </w:rPr>
      <w:t>6</w:t>
    </w:r>
    <w:r w:rsidRPr="000352BF">
      <w:rPr>
        <w:rStyle w:val="Seitenzahl"/>
        <w:rFonts w:cs="Wiener Melange"/>
        <w:szCs w:val="20"/>
      </w:rPr>
      <w:fldChar w:fldCharType="end"/>
    </w:r>
    <w:r w:rsidRPr="000352BF">
      <w:rPr>
        <w:rStyle w:val="Seitenzahl"/>
        <w:rFonts w:cs="Wiener Melange"/>
        <w:szCs w:val="20"/>
        <w:lang w:val="de-DE"/>
      </w:rPr>
      <w:t>/</w:t>
    </w:r>
    <w:r w:rsidR="007D2AFC" w:rsidRPr="000352BF">
      <w:fldChar w:fldCharType="begin"/>
    </w:r>
    <w:r w:rsidR="007D2AFC" w:rsidRPr="000352BF">
      <w:rPr>
        <w:rFonts w:cs="Wiener Melange"/>
      </w:rPr>
      <w:instrText>NUMPAGES  \* Arabic  \* MERGEFORMAT</w:instrText>
    </w:r>
    <w:r w:rsidR="007D2AFC" w:rsidRPr="000352BF">
      <w:fldChar w:fldCharType="separate"/>
    </w:r>
    <w:r w:rsidR="00473FC4" w:rsidRPr="00473FC4">
      <w:rPr>
        <w:rStyle w:val="Seitenzahl"/>
        <w:noProof/>
        <w:szCs w:val="20"/>
        <w:lang w:val="de-DE"/>
      </w:rPr>
      <w:t>6</w:t>
    </w:r>
    <w:r w:rsidR="007D2AFC" w:rsidRPr="000352BF">
      <w:rPr>
        <w:rStyle w:val="Seitenzahl"/>
        <w:rFonts w:cs="Wiener Melange"/>
        <w:noProof/>
        <w:szCs w:val="20"/>
        <w:lang w:val="de-DE"/>
      </w:rPr>
      <w:fldChar w:fldCharType="end"/>
    </w:r>
  </w:p>
  <w:p w:rsidR="00F2418B" w:rsidRPr="00D02BB7" w:rsidRDefault="000352BF" w:rsidP="00DD0ECD">
    <w:pPr>
      <w:pStyle w:val="Kopfzeile"/>
      <w:ind w:left="-947" w:right="357" w:firstLine="425"/>
      <w:rPr>
        <w:rFonts w:ascii="Calibri" w:hAnsi="Calibri" w:cs="Calibri"/>
      </w:rPr>
    </w:pPr>
    <w:r>
      <w:rPr>
        <w:noProof/>
        <w:lang w:val="de-AT" w:eastAsia="de-AT"/>
      </w:rPr>
      <w:drawing>
        <wp:anchor distT="0" distB="0" distL="114300" distR="114300" simplePos="0" relativeHeight="251663360" behindDoc="0" locked="0" layoutInCell="1" allowOverlap="1" wp14:anchorId="273486AF" wp14:editId="251FB115">
          <wp:simplePos x="0" y="0"/>
          <wp:positionH relativeFrom="page">
            <wp:posOffset>700089</wp:posOffset>
          </wp:positionH>
          <wp:positionV relativeFrom="page">
            <wp:posOffset>519113</wp:posOffset>
          </wp:positionV>
          <wp:extent cx="756920" cy="294640"/>
          <wp:effectExtent l="0" t="0" r="508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rotWithShape="1">
                  <a:blip r:embed="rId1" cstate="print">
                    <a:extLst>
                      <a:ext uri="{28A0092B-C50C-407E-A947-70E740481C1C}">
                        <a14:useLocalDpi xmlns:a14="http://schemas.microsoft.com/office/drawing/2010/main" val="0"/>
                      </a:ext>
                    </a:extLst>
                  </a:blip>
                  <a:srcRect r="46525"/>
                  <a:stretch/>
                </pic:blipFill>
                <pic:spPr bwMode="auto">
                  <a:xfrm>
                    <a:off x="0" y="0"/>
                    <a:ext cx="758359"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noProof/>
        <w:lang w:val="de-AT" w:eastAsia="de-AT"/>
      </w:rPr>
      <w:drawing>
        <wp:anchor distT="0" distB="0" distL="114300" distR="114300" simplePos="0" relativeHeight="251661312" behindDoc="0" locked="0" layoutInCell="1" allowOverlap="1" wp14:anchorId="1755BB2A" wp14:editId="4EF9F467">
          <wp:simplePos x="0" y="0"/>
          <wp:positionH relativeFrom="page">
            <wp:posOffset>702861</wp:posOffset>
          </wp:positionH>
          <wp:positionV relativeFrom="page">
            <wp:posOffset>518615</wp:posOffset>
          </wp:positionV>
          <wp:extent cx="757450" cy="294640"/>
          <wp:effectExtent l="0" t="0" r="508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Briefpaier_Seite2_OKAY_NEU.jpg"/>
                  <pic:cNvPicPr/>
                </pic:nvPicPr>
                <pic:blipFill rotWithShape="1">
                  <a:blip r:embed="rId2" cstate="print">
                    <a:extLst>
                      <a:ext uri="{28A0092B-C50C-407E-A947-70E740481C1C}">
                        <a14:useLocalDpi xmlns:a14="http://schemas.microsoft.com/office/drawing/2010/main" val="0"/>
                      </a:ext>
                    </a:extLst>
                  </a:blip>
                  <a:srcRect r="46488"/>
                  <a:stretch/>
                </pic:blipFill>
                <pic:spPr bwMode="auto">
                  <a:xfrm>
                    <a:off x="0" y="0"/>
                    <a:ext cx="758890"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rPr>
      <w:tab/>
    </w:r>
    <w:r w:rsidR="00590724">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3" w:rsidRDefault="00B64ED3" w:rsidP="00585B75">
    <w:pPr>
      <w:pStyle w:val="Kopfzeile"/>
      <w:ind w:left="-936"/>
    </w:pPr>
    <w:r>
      <w:rPr>
        <w:noProof/>
        <w:lang w:val="de-AT" w:eastAsia="de-AT"/>
      </w:rPr>
      <w:drawing>
        <wp:anchor distT="0" distB="0" distL="114300" distR="114300" simplePos="0" relativeHeight="251660288" behindDoc="0" locked="0" layoutInCell="1" allowOverlap="1" wp14:anchorId="0A45A252" wp14:editId="2C70E906">
          <wp:simplePos x="0" y="0"/>
          <wp:positionH relativeFrom="page">
            <wp:posOffset>520286</wp:posOffset>
          </wp:positionH>
          <wp:positionV relativeFrom="page">
            <wp:posOffset>451262</wp:posOffset>
          </wp:positionV>
          <wp:extent cx="2767151" cy="5760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151" cy="576000"/>
                  </a:xfrm>
                  <a:prstGeom prst="rect">
                    <a:avLst/>
                  </a:prstGeom>
                </pic:spPr>
              </pic:pic>
            </a:graphicData>
          </a:graphic>
          <wp14:sizeRelH relativeFrom="margin">
            <wp14:pctWidth>0</wp14:pctWidth>
          </wp14:sizeRelH>
          <wp14:sizeRelV relativeFrom="margin">
            <wp14:pctHeight>0</wp14:pctHeight>
          </wp14:sizeRelV>
        </wp:anchor>
      </w:drawing>
    </w:r>
    <w:r w:rsidR="00590724">
      <w:tab/>
    </w:r>
    <w:r w:rsidR="00590724">
      <w:tab/>
    </w:r>
  </w:p>
  <w:p w:rsidR="00357D13" w:rsidRDefault="00590724" w:rsidP="00357D13">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60"/>
    <w:multiLevelType w:val="hybridMultilevel"/>
    <w:tmpl w:val="64DE0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A3A0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F533FD"/>
    <w:multiLevelType w:val="hybridMultilevel"/>
    <w:tmpl w:val="EB500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9908F6"/>
    <w:multiLevelType w:val="hybridMultilevel"/>
    <w:tmpl w:val="D8D030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E73B41"/>
    <w:multiLevelType w:val="hybridMultilevel"/>
    <w:tmpl w:val="555AD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04"/>
    <w:rsid w:val="000352BF"/>
    <w:rsid w:val="000824A6"/>
    <w:rsid w:val="001126EB"/>
    <w:rsid w:val="00157997"/>
    <w:rsid w:val="002627B3"/>
    <w:rsid w:val="002B1AAF"/>
    <w:rsid w:val="004639EE"/>
    <w:rsid w:val="00473FC4"/>
    <w:rsid w:val="004F2E35"/>
    <w:rsid w:val="00590724"/>
    <w:rsid w:val="00703D18"/>
    <w:rsid w:val="007C1EE6"/>
    <w:rsid w:val="007D2AFC"/>
    <w:rsid w:val="0093450A"/>
    <w:rsid w:val="00942FAB"/>
    <w:rsid w:val="009A212E"/>
    <w:rsid w:val="00A239E3"/>
    <w:rsid w:val="00A41504"/>
    <w:rsid w:val="00A459A0"/>
    <w:rsid w:val="00AF167F"/>
    <w:rsid w:val="00B64ED3"/>
    <w:rsid w:val="00BE6FD1"/>
    <w:rsid w:val="00D06238"/>
    <w:rsid w:val="00D44855"/>
    <w:rsid w:val="00D53325"/>
    <w:rsid w:val="00D807C2"/>
    <w:rsid w:val="00D87492"/>
    <w:rsid w:val="00DD2353"/>
    <w:rsid w:val="00E76C3E"/>
    <w:rsid w:val="00EB6DF9"/>
    <w:rsid w:val="00EF17E1"/>
    <w:rsid w:val="00F02785"/>
    <w:rsid w:val="00F26412"/>
    <w:rsid w:val="00FB1DC0"/>
    <w:rsid w:val="00FC1D58"/>
    <w:rsid w:val="00FD5128"/>
    <w:rsid w:val="00FE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6E6B"/>
  <w14:defaultImageDpi w14:val="32767"/>
  <w15:chartTrackingRefBased/>
  <w15:docId w15:val="{32129427-8385-452E-B5DE-0EA87CCA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492"/>
    <w:pPr>
      <w:spacing w:after="200" w:line="264" w:lineRule="auto"/>
    </w:pPr>
    <w:rPr>
      <w:rFonts w:ascii="Wiener Melange" w:hAnsi="Wiener Melange"/>
      <w:color w:val="000000" w:themeColor="text1"/>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qFormat/>
    <w:rsid w:val="00F26412"/>
    <w:pPr>
      <w:widowControl w:val="0"/>
      <w:snapToGrid w:val="0"/>
      <w:spacing w:after="160" w:line="720" w:lineRule="exact"/>
      <w:contextualSpacing/>
    </w:pPr>
    <w:rPr>
      <w:rFonts w:ascii="Wiener Melange Extra Bold" w:hAnsi="Wiener Melange Extra Bold" w:cs="Wiener Melange Extra Bold"/>
      <w:b/>
      <w:sz w:val="62"/>
      <w:szCs w:val="62"/>
      <w:lang w:val="de-AT"/>
    </w:rPr>
  </w:style>
  <w:style w:type="paragraph" w:customStyle="1" w:styleId="Untertitel16pt">
    <w:name w:val="Untertitel 16pt"/>
    <w:next w:val="Standard"/>
    <w:qFormat/>
    <w:rsid w:val="00F26412"/>
    <w:pPr>
      <w:snapToGrid w:val="0"/>
    </w:pPr>
    <w:rPr>
      <w:rFonts w:ascii="Wiener Melange" w:hAnsi="Wiener Melange" w:cs="Wiener Melange"/>
      <w:color w:val="000000"/>
      <w:sz w:val="32"/>
      <w:szCs w:val="32"/>
      <w:lang w:val="de-AT"/>
    </w:rPr>
  </w:style>
  <w:style w:type="paragraph" w:customStyle="1" w:styleId="ABImpressum">
    <w:name w:val="AB_Impressum"/>
    <w:qFormat/>
    <w:rsid w:val="00F26412"/>
    <w:rPr>
      <w:rFonts w:ascii="Wiener Melange" w:hAnsi="Wiener Melange" w:cs="Wiener Melange"/>
      <w:spacing w:val="2"/>
      <w:sz w:val="17"/>
      <w:szCs w:val="17"/>
    </w:rPr>
  </w:style>
  <w:style w:type="paragraph" w:customStyle="1" w:styleId="ABbertitel24pt">
    <w:name w:val="AB_Übertitel 24pt"/>
    <w:qFormat/>
    <w:rsid w:val="00F26412"/>
    <w:pPr>
      <w:widowControl w:val="0"/>
      <w:snapToGrid w:val="0"/>
      <w:spacing w:after="120" w:line="600" w:lineRule="exact"/>
      <w:contextualSpacing/>
      <w:jc w:val="center"/>
    </w:pPr>
    <w:rPr>
      <w:rFonts w:ascii="Wiener Melange Extra Bold" w:hAnsi="Wiener Melange Extra Bold" w:cs="Wiener Melange Extra Bold"/>
      <w:b/>
      <w:sz w:val="48"/>
      <w:szCs w:val="48"/>
      <w:lang w:val="de-AT"/>
    </w:rPr>
  </w:style>
  <w:style w:type="paragraph" w:customStyle="1" w:styleId="ABUTitel16pt-zentriert">
    <w:name w:val="AB_U_Titel 16pt-zentriert"/>
    <w:qFormat/>
    <w:rsid w:val="00F26412"/>
    <w:rPr>
      <w:rFonts w:ascii="Wiener Melange" w:hAnsi="Wiener Melange" w:cs="Wiener Melange"/>
      <w:color w:val="000000"/>
      <w:sz w:val="32"/>
      <w:szCs w:val="32"/>
    </w:rPr>
  </w:style>
  <w:style w:type="character" w:customStyle="1" w:styleId="ABMarginalien7pt">
    <w:name w:val="AB_Marginalien 7pt"/>
    <w:uiPriority w:val="1"/>
    <w:qFormat/>
    <w:rsid w:val="00F26412"/>
    <w:rPr>
      <w:rFonts w:ascii="Wiener Melange" w:hAnsi="Wiener Melange" w:cs="Wiener Melange"/>
      <w:color w:val="000000"/>
      <w:spacing w:val="2"/>
      <w:sz w:val="14"/>
      <w:szCs w:val="14"/>
    </w:rPr>
  </w:style>
  <w:style w:type="character" w:customStyle="1" w:styleId="ABMarginalienKURSIV7pt">
    <w:name w:val="AB_Marginalien KURSIV 7pt"/>
    <w:uiPriority w:val="1"/>
    <w:qFormat/>
    <w:rsid w:val="00F26412"/>
    <w:rPr>
      <w:rFonts w:ascii="Wiener Melange" w:hAnsi="Wiener Melange" w:cs="Wiener Melange"/>
      <w:i/>
      <w:iCs/>
      <w:color w:val="000000"/>
      <w:spacing w:val="2"/>
      <w:sz w:val="14"/>
      <w:szCs w:val="14"/>
    </w:rPr>
  </w:style>
  <w:style w:type="paragraph" w:customStyle="1" w:styleId="ABAufzhlung18">
    <w:name w:val="AB_Aufzählung_1  8"/>
    <w:aliases w:val="5pt"/>
    <w:qFormat/>
    <w:rsid w:val="00F26412"/>
    <w:pPr>
      <w:tabs>
        <w:tab w:val="left" w:pos="200"/>
        <w:tab w:val="left" w:pos="2835"/>
        <w:tab w:val="right" w:pos="4734"/>
        <w:tab w:val="center" w:pos="4820"/>
        <w:tab w:val="left" w:pos="4961"/>
      </w:tabs>
      <w:autoSpaceDE w:val="0"/>
      <w:autoSpaceDN w:val="0"/>
      <w:adjustRightInd w:val="0"/>
      <w:spacing w:after="43" w:line="230" w:lineRule="atLeast"/>
      <w:textAlignment w:val="center"/>
    </w:pPr>
    <w:rPr>
      <w:rFonts w:ascii="Wiener Melange" w:hAnsi="Wiener Melange" w:cs="Wiener Melange"/>
      <w:color w:val="000000"/>
      <w:spacing w:val="2"/>
      <w:sz w:val="17"/>
      <w:szCs w:val="17"/>
    </w:rPr>
  </w:style>
  <w:style w:type="character" w:customStyle="1" w:styleId="ABAufzhlung2fett">
    <w:name w:val="AB_Aufzählung_2 fett"/>
    <w:uiPriority w:val="1"/>
    <w:qFormat/>
    <w:rsid w:val="00F26412"/>
    <w:rPr>
      <w:b/>
      <w:bCs/>
    </w:rPr>
  </w:style>
  <w:style w:type="paragraph" w:customStyle="1" w:styleId="ABSunTitel8pt">
    <w:name w:val="AB_SunTitel 8pt"/>
    <w:qFormat/>
    <w:rsid w:val="00F26412"/>
    <w:rPr>
      <w:rFonts w:ascii="Wiener Melange Extra Bold" w:hAnsi="Wiener Melange Extra Bold" w:cs="Wiener Melange Extra Bold"/>
      <w:b/>
      <w:bCs/>
      <w:caps/>
      <w:color w:val="000000"/>
      <w:sz w:val="16"/>
      <w:szCs w:val="16"/>
    </w:rPr>
  </w:style>
  <w:style w:type="paragraph" w:customStyle="1" w:styleId="ABAufzhlung2">
    <w:name w:val="AB_Aufzählung_2"/>
    <w:qFormat/>
    <w:rsid w:val="00F26412"/>
    <w:pPr>
      <w:tabs>
        <w:tab w:val="right" w:pos="1940"/>
        <w:tab w:val="center" w:pos="1984"/>
        <w:tab w:val="left" w:pos="2280"/>
      </w:tabs>
      <w:autoSpaceDE w:val="0"/>
      <w:autoSpaceDN w:val="0"/>
      <w:adjustRightInd w:val="0"/>
      <w:spacing w:line="230" w:lineRule="atLeast"/>
      <w:textAlignment w:val="center"/>
    </w:pPr>
    <w:rPr>
      <w:rFonts w:ascii="Wiener Melange" w:hAnsi="Wiener Melange" w:cs="Wiener Melange"/>
      <w:color w:val="000000"/>
      <w:spacing w:val="2"/>
      <w:sz w:val="17"/>
      <w:szCs w:val="17"/>
    </w:rPr>
  </w:style>
  <w:style w:type="paragraph" w:customStyle="1" w:styleId="ABberschrift224pt">
    <w:name w:val="AB_Überschrift_2_24pt"/>
    <w:qFormat/>
    <w:rsid w:val="00F26412"/>
    <w:pPr>
      <w:widowControl w:val="0"/>
      <w:snapToGrid w:val="0"/>
      <w:spacing w:line="600" w:lineRule="exact"/>
      <w:contextualSpacing/>
      <w:jc w:val="center"/>
    </w:pPr>
    <w:rPr>
      <w:rFonts w:ascii="Wiener Melange Extra Bold" w:hAnsi="Wiener Melange Extra Bold" w:cs="Wiener Melange Extra Bold"/>
      <w:b/>
      <w:sz w:val="48"/>
      <w:szCs w:val="48"/>
      <w:lang w:val="de-AT"/>
    </w:rPr>
  </w:style>
  <w:style w:type="paragraph" w:customStyle="1" w:styleId="Zwiti-8pt">
    <w:name w:val="Zwiti-8pt"/>
    <w:qFormat/>
    <w:rsid w:val="00F26412"/>
    <w:pPr>
      <w:autoSpaceDE w:val="0"/>
      <w:autoSpaceDN w:val="0"/>
      <w:adjustRightInd w:val="0"/>
      <w:spacing w:before="460"/>
      <w:jc w:val="center"/>
      <w:textAlignment w:val="center"/>
    </w:pPr>
    <w:rPr>
      <w:rFonts w:ascii="Wiener Melange Extra Bold" w:hAnsi="Wiener Melange Extra Bold" w:cs="Wiener Melange Extra Bold"/>
      <w:b/>
      <w:bCs/>
      <w:color w:val="000000"/>
      <w:sz w:val="16"/>
      <w:szCs w:val="16"/>
    </w:rPr>
  </w:style>
  <w:style w:type="paragraph" w:customStyle="1" w:styleId="ABCOPY">
    <w:name w:val="AB_COPY"/>
    <w:qFormat/>
    <w:rsid w:val="00F26412"/>
    <w:pPr>
      <w:autoSpaceDE w:val="0"/>
      <w:autoSpaceDN w:val="0"/>
      <w:adjustRightInd w:val="0"/>
      <w:ind w:firstLine="227"/>
      <w:textAlignment w:val="center"/>
    </w:pPr>
    <w:rPr>
      <w:rFonts w:ascii="Wiener Melange Cd" w:hAnsi="Wiener Melange Cd" w:cs="Wiener Melange Cd"/>
      <w:color w:val="000000"/>
      <w:sz w:val="17"/>
      <w:szCs w:val="17"/>
    </w:rPr>
  </w:style>
  <w:style w:type="paragraph" w:customStyle="1" w:styleId="ABCOPYAufzhlung">
    <w:name w:val="AB_COPY_Aufzählung"/>
    <w:qFormat/>
    <w:rsid w:val="00F26412"/>
    <w:pPr>
      <w:widowControl w:val="0"/>
      <w:tabs>
        <w:tab w:val="right" w:pos="1531"/>
        <w:tab w:val="left" w:pos="1780"/>
      </w:tabs>
      <w:autoSpaceDE w:val="0"/>
      <w:autoSpaceDN w:val="0"/>
      <w:adjustRightInd w:val="0"/>
      <w:textAlignment w:val="center"/>
    </w:pPr>
    <w:rPr>
      <w:rFonts w:ascii="Wiener Melange Cd" w:hAnsi="Wiener Melange Cd" w:cs="Wiener Melange Cd"/>
      <w:color w:val="000000"/>
      <w:spacing w:val="2"/>
      <w:sz w:val="17"/>
      <w:szCs w:val="17"/>
    </w:rPr>
  </w:style>
  <w:style w:type="paragraph" w:customStyle="1" w:styleId="ABMagistratsbezeichnungen">
    <w:name w:val="AB_Magistratsbezeichnungen"/>
    <w:qFormat/>
    <w:rsid w:val="00F26412"/>
    <w:pPr>
      <w:keepNext/>
      <w:widowControl w:val="0"/>
      <w:autoSpaceDE w:val="0"/>
      <w:autoSpaceDN w:val="0"/>
      <w:adjustRightInd w:val="0"/>
      <w:spacing w:before="170" w:after="220"/>
      <w:jc w:val="center"/>
      <w:textAlignment w:val="center"/>
    </w:pPr>
    <w:rPr>
      <w:rFonts w:ascii="Wiener Melange" w:hAnsi="Wiener Melange" w:cs="Wiener Melange"/>
      <w:color w:val="000000"/>
      <w:spacing w:val="2"/>
      <w:sz w:val="17"/>
      <w:szCs w:val="17"/>
    </w:rPr>
  </w:style>
  <w:style w:type="paragraph" w:customStyle="1" w:styleId="ABMagistratsabteilungen">
    <w:name w:val="AB_Magistratsabteilungen"/>
    <w:qFormat/>
    <w:rsid w:val="00F26412"/>
    <w:pPr>
      <w:keepNext/>
      <w:widowControl w:val="0"/>
      <w:autoSpaceDE w:val="0"/>
      <w:autoSpaceDN w:val="0"/>
      <w:adjustRightInd w:val="0"/>
      <w:spacing w:before="283"/>
      <w:jc w:val="center"/>
      <w:textAlignment w:val="center"/>
    </w:pPr>
    <w:rPr>
      <w:rFonts w:ascii="Wiener Melange" w:hAnsi="Wiener Melange" w:cs="Wiener Melange"/>
      <w:b/>
      <w:bCs/>
      <w:color w:val="000000"/>
      <w:sz w:val="17"/>
      <w:szCs w:val="17"/>
    </w:rPr>
  </w:style>
  <w:style w:type="paragraph" w:customStyle="1" w:styleId="ABCOPYEinzug">
    <w:name w:val="AB_COPY_Einzug"/>
    <w:basedOn w:val="ABCOPY"/>
    <w:qFormat/>
    <w:rsid w:val="00F26412"/>
    <w:pPr>
      <w:ind w:left="227" w:firstLine="0"/>
    </w:pPr>
  </w:style>
  <w:style w:type="paragraph" w:customStyle="1" w:styleId="ABCOPYEinzug-Zeichen">
    <w:name w:val="AB_COPY_Einzug-Zeichen"/>
    <w:basedOn w:val="ABCOPY"/>
    <w:link w:val="ABCOPYEinzug-ZeichenZchn"/>
    <w:qFormat/>
    <w:rsid w:val="00F26412"/>
    <w:pPr>
      <w:ind w:left="227" w:firstLine="0"/>
    </w:pPr>
  </w:style>
  <w:style w:type="character" w:customStyle="1" w:styleId="ABCOPYEinzug-ZeichenZchn">
    <w:name w:val="AB_COPY_Einzug-Zeichen Zchn"/>
    <w:basedOn w:val="Absatz-Standardschriftart"/>
    <w:link w:val="ABCOPYEinzug-Zeichen"/>
    <w:rsid w:val="00F26412"/>
    <w:rPr>
      <w:rFonts w:ascii="Wiener Melange Cd" w:hAnsi="Wiener Melange Cd" w:cs="Wiener Melange Cd"/>
      <w:color w:val="000000"/>
      <w:sz w:val="17"/>
      <w:szCs w:val="17"/>
    </w:rPr>
  </w:style>
  <w:style w:type="paragraph" w:customStyle="1" w:styleId="ABFuzeilen">
    <w:name w:val="AB_Fußzeilen"/>
    <w:qFormat/>
    <w:rsid w:val="00F26412"/>
    <w:rPr>
      <w:rFonts w:ascii="Wiener Melange" w:hAnsi="Wiener Melange" w:cs="Wiener Melange"/>
      <w:spacing w:val="2"/>
      <w:sz w:val="17"/>
      <w:szCs w:val="17"/>
    </w:rPr>
  </w:style>
  <w:style w:type="paragraph" w:customStyle="1" w:styleId="ABImpressum7pt">
    <w:name w:val="AB_Impressum_7pt"/>
    <w:qFormat/>
    <w:rsid w:val="00F26412"/>
    <w:rPr>
      <w:rFonts w:ascii="Wiener Melange Cd" w:hAnsi="Wiener Melange Cd" w:cs="Wiener Melange Cd"/>
      <w:spacing w:val="1"/>
      <w:sz w:val="14"/>
      <w:szCs w:val="14"/>
    </w:rPr>
  </w:style>
  <w:style w:type="paragraph" w:customStyle="1" w:styleId="ABPAGINA">
    <w:name w:val="AB_PAGINA"/>
    <w:qFormat/>
    <w:rsid w:val="00F26412"/>
    <w:pPr>
      <w:framePr w:wrap="notBeside" w:vAnchor="page" w:hAnchor="margin" w:xAlign="outside" w:y="16331"/>
    </w:pPr>
    <w:rPr>
      <w:rFonts w:ascii="Wiener Melange" w:hAnsi="Wiener Melange" w:cs="Wiener Melange"/>
      <w:b/>
      <w:bCs/>
      <w:color w:val="000000"/>
      <w:sz w:val="14"/>
      <w:szCs w:val="14"/>
    </w:rPr>
  </w:style>
  <w:style w:type="paragraph" w:customStyle="1" w:styleId="ABCOPYAufzhlung1">
    <w:name w:val="AB_COPY_Aufzählung_1"/>
    <w:basedOn w:val="ABCOPY"/>
    <w:next w:val="ABMagistratsabteilungen"/>
    <w:link w:val="ABCOPYAufzhlung1Zchn"/>
    <w:qFormat/>
    <w:rsid w:val="00F26412"/>
  </w:style>
  <w:style w:type="character" w:customStyle="1" w:styleId="ABCOPYAufzhlung1Zchn">
    <w:name w:val="AB_COPY_Aufzählung_1 Zchn"/>
    <w:basedOn w:val="Absatz-Standardschriftart"/>
    <w:link w:val="ABCOPYAufzhlung1"/>
    <w:rsid w:val="00F26412"/>
    <w:rPr>
      <w:rFonts w:ascii="Wiener Melange Cd" w:hAnsi="Wiener Melange Cd" w:cs="Wiener Melange Cd"/>
      <w:color w:val="000000"/>
      <w:sz w:val="17"/>
      <w:szCs w:val="17"/>
    </w:rPr>
  </w:style>
  <w:style w:type="paragraph" w:styleId="Kopfzeile">
    <w:name w:val="header"/>
    <w:basedOn w:val="Standard"/>
    <w:link w:val="KopfzeileZchn"/>
    <w:uiPriority w:val="99"/>
    <w:unhideWhenUsed/>
    <w:rsid w:val="00D87492"/>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D87492"/>
    <w:rPr>
      <w:rFonts w:ascii="Wiener Melange" w:hAnsi="Wiener Melange"/>
      <w:color w:val="000000" w:themeColor="text1"/>
      <w:sz w:val="20"/>
      <w:lang w:val="es-ES"/>
    </w:rPr>
  </w:style>
  <w:style w:type="paragraph" w:styleId="Fuzeile">
    <w:name w:val="footer"/>
    <w:basedOn w:val="Standard"/>
    <w:link w:val="FuzeileZchn"/>
    <w:uiPriority w:val="99"/>
    <w:unhideWhenUsed/>
    <w:qFormat/>
    <w:rsid w:val="00D8749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D87492"/>
    <w:rPr>
      <w:rFonts w:ascii="Wiener Melange" w:hAnsi="Wiener Melange"/>
      <w:color w:val="000000" w:themeColor="text1"/>
      <w:sz w:val="13"/>
      <w:lang w:val="es-ES"/>
    </w:rPr>
  </w:style>
  <w:style w:type="character" w:styleId="Seitenzahl">
    <w:name w:val="page number"/>
    <w:basedOn w:val="Absatz-Standardschriftart"/>
    <w:uiPriority w:val="99"/>
    <w:semiHidden/>
    <w:unhideWhenUsed/>
    <w:rsid w:val="00D87492"/>
  </w:style>
  <w:style w:type="paragraph" w:styleId="StandardWeb">
    <w:name w:val="Normal (Web)"/>
    <w:basedOn w:val="Standard"/>
    <w:uiPriority w:val="99"/>
    <w:semiHidden/>
    <w:unhideWhenUsed/>
    <w:rsid w:val="00D87492"/>
    <w:pPr>
      <w:spacing w:before="100" w:beforeAutospacing="1" w:after="100" w:afterAutospacing="1" w:line="240" w:lineRule="auto"/>
    </w:pPr>
    <w:rPr>
      <w:rFonts w:ascii="Times New Roman" w:hAnsi="Times New Roman" w:cs="Times New Roman"/>
      <w:color w:val="auto"/>
      <w:sz w:val="24"/>
      <w:lang w:val="en-GB" w:eastAsia="en-GB"/>
    </w:rPr>
  </w:style>
  <w:style w:type="table" w:styleId="Tabellenraster">
    <w:name w:val="Table Grid"/>
    <w:basedOn w:val="NormaleTabelle"/>
    <w:uiPriority w:val="39"/>
    <w:rsid w:val="00A4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41504"/>
    <w:pPr>
      <w:spacing w:line="240" w:lineRule="auto"/>
    </w:pPr>
    <w:rPr>
      <w:i/>
      <w:iCs/>
      <w:color w:val="44546A" w:themeColor="text2"/>
      <w:sz w:val="18"/>
      <w:szCs w:val="18"/>
    </w:rPr>
  </w:style>
  <w:style w:type="paragraph" w:styleId="Listenabsatz">
    <w:name w:val="List Paragraph"/>
    <w:basedOn w:val="Standard"/>
    <w:uiPriority w:val="34"/>
    <w:qFormat/>
    <w:rsid w:val="0011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m403hm\Downloads\Brief-Vorlage%20MA%2040%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MA 40 (1).dotx</Template>
  <TotalTime>0</TotalTime>
  <Pages>6</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Hieblinger Melanie</dc:creator>
  <cp:keywords/>
  <dc:description/>
  <cp:lastModifiedBy>Hieblinger Melanie</cp:lastModifiedBy>
  <cp:revision>22</cp:revision>
  <cp:lastPrinted>2022-12-22T09:37:00Z</cp:lastPrinted>
  <dcterms:created xsi:type="dcterms:W3CDTF">2022-12-21T14:55:00Z</dcterms:created>
  <dcterms:modified xsi:type="dcterms:W3CDTF">2022-12-22T09:37:00Z</dcterms:modified>
  <cp:category/>
</cp:coreProperties>
</file>